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485886400"/>
    <w:bookmarkStart w:id="1" w:name="_GoBack"/>
    <w:bookmarkEnd w:id="1"/>
    <w:p w:rsidR="00424709" w:rsidRPr="001707C0" w:rsidRDefault="00424709" w:rsidP="00424709">
      <w:pPr>
        <w:rPr>
          <w:rFonts w:ascii="Garamond" w:hAnsi="Garamond"/>
          <w:color w:val="FF0000"/>
          <w:sz w:val="28"/>
          <w:szCs w:val="28"/>
        </w:rPr>
      </w:pPr>
      <w:r w:rsidRPr="001707C0">
        <w:rPr>
          <w:rFonts w:ascii="Garamond" w:hAnsi="Garamond"/>
          <w:noProof/>
          <w:color w:val="FF0000"/>
          <w:lang w:eastAsia="fr-FR"/>
        </w:rPr>
        <mc:AlternateContent>
          <mc:Choice Requires="wps">
            <w:drawing>
              <wp:anchor distT="0" distB="0" distL="114300" distR="114300" simplePos="0" relativeHeight="251663360" behindDoc="0" locked="0" layoutInCell="1" allowOverlap="1" wp14:anchorId="0C9DF4D6" wp14:editId="22C65EA8">
                <wp:simplePos x="0" y="0"/>
                <wp:positionH relativeFrom="column">
                  <wp:posOffset>-833120</wp:posOffset>
                </wp:positionH>
                <wp:positionV relativeFrom="paragraph">
                  <wp:posOffset>-101600</wp:posOffset>
                </wp:positionV>
                <wp:extent cx="7965440" cy="201295"/>
                <wp:effectExtent l="0" t="0" r="16510" b="27305"/>
                <wp:wrapNone/>
                <wp:docPr id="13" name="Forme libr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flipV="1">
                          <a:off x="0" y="0"/>
                          <a:ext cx="7965440" cy="201295"/>
                        </a:xfrm>
                        <a:custGeom>
                          <a:avLst/>
                          <a:gdLst>
                            <a:gd name="T0" fmla="*/ 0 w 11758"/>
                            <a:gd name="T1" fmla="*/ 359 h 887"/>
                            <a:gd name="T2" fmla="*/ 388 w 11758"/>
                            <a:gd name="T3" fmla="*/ 497 h 887"/>
                            <a:gd name="T4" fmla="*/ 876 w 11758"/>
                            <a:gd name="T5" fmla="*/ 610 h 887"/>
                            <a:gd name="T6" fmla="*/ 1402 w 11758"/>
                            <a:gd name="T7" fmla="*/ 722 h 887"/>
                            <a:gd name="T8" fmla="*/ 2103 w 11758"/>
                            <a:gd name="T9" fmla="*/ 797 h 887"/>
                            <a:gd name="T10" fmla="*/ 3255 w 11758"/>
                            <a:gd name="T11" fmla="*/ 885 h 887"/>
                            <a:gd name="T12" fmla="*/ 4583 w 11758"/>
                            <a:gd name="T13" fmla="*/ 810 h 887"/>
                            <a:gd name="T14" fmla="*/ 5647 w 11758"/>
                            <a:gd name="T15" fmla="*/ 585 h 887"/>
                            <a:gd name="T16" fmla="*/ 6336 w 11758"/>
                            <a:gd name="T17" fmla="*/ 347 h 887"/>
                            <a:gd name="T18" fmla="*/ 7125 w 11758"/>
                            <a:gd name="T19" fmla="*/ 146 h 887"/>
                            <a:gd name="T20" fmla="*/ 7788 w 11758"/>
                            <a:gd name="T21" fmla="*/ 21 h 887"/>
                            <a:gd name="T22" fmla="*/ 9353 w 11758"/>
                            <a:gd name="T23" fmla="*/ 21 h 887"/>
                            <a:gd name="T24" fmla="*/ 10055 w 11758"/>
                            <a:gd name="T25" fmla="*/ 146 h 887"/>
                            <a:gd name="T26" fmla="*/ 10681 w 11758"/>
                            <a:gd name="T27" fmla="*/ 272 h 887"/>
                            <a:gd name="T28" fmla="*/ 11507 w 11758"/>
                            <a:gd name="T29" fmla="*/ 359 h 887"/>
                            <a:gd name="T30" fmla="*/ 11758 w 11758"/>
                            <a:gd name="T31" fmla="*/ 309 h 8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1758" h="887">
                              <a:moveTo>
                                <a:pt x="0" y="359"/>
                              </a:moveTo>
                              <a:cubicBezTo>
                                <a:pt x="121" y="407"/>
                                <a:pt x="242" y="455"/>
                                <a:pt x="388" y="497"/>
                              </a:cubicBezTo>
                              <a:cubicBezTo>
                                <a:pt x="534" y="539"/>
                                <a:pt x="707" y="573"/>
                                <a:pt x="876" y="610"/>
                              </a:cubicBezTo>
                              <a:cubicBezTo>
                                <a:pt x="1045" y="647"/>
                                <a:pt x="1198" y="691"/>
                                <a:pt x="1402" y="722"/>
                              </a:cubicBezTo>
                              <a:cubicBezTo>
                                <a:pt x="1606" y="753"/>
                                <a:pt x="1794" y="770"/>
                                <a:pt x="2103" y="797"/>
                              </a:cubicBezTo>
                              <a:cubicBezTo>
                                <a:pt x="2412" y="824"/>
                                <a:pt x="2842" y="883"/>
                                <a:pt x="3255" y="885"/>
                              </a:cubicBezTo>
                              <a:cubicBezTo>
                                <a:pt x="3668" y="887"/>
                                <a:pt x="4184" y="860"/>
                                <a:pt x="4583" y="810"/>
                              </a:cubicBezTo>
                              <a:cubicBezTo>
                                <a:pt x="4982" y="760"/>
                                <a:pt x="5355" y="662"/>
                                <a:pt x="5647" y="585"/>
                              </a:cubicBezTo>
                              <a:cubicBezTo>
                                <a:pt x="5939" y="508"/>
                                <a:pt x="6090" y="420"/>
                                <a:pt x="6336" y="347"/>
                              </a:cubicBezTo>
                              <a:cubicBezTo>
                                <a:pt x="6582" y="274"/>
                                <a:pt x="6883" y="200"/>
                                <a:pt x="7125" y="146"/>
                              </a:cubicBezTo>
                              <a:cubicBezTo>
                                <a:pt x="7367" y="92"/>
                                <a:pt x="7417" y="42"/>
                                <a:pt x="7788" y="21"/>
                              </a:cubicBezTo>
                              <a:cubicBezTo>
                                <a:pt x="8159" y="0"/>
                                <a:pt x="8975" y="0"/>
                                <a:pt x="9353" y="21"/>
                              </a:cubicBezTo>
                              <a:cubicBezTo>
                                <a:pt x="9731" y="42"/>
                                <a:pt x="9834" y="104"/>
                                <a:pt x="10055" y="146"/>
                              </a:cubicBezTo>
                              <a:cubicBezTo>
                                <a:pt x="10276" y="188"/>
                                <a:pt x="10439" y="237"/>
                                <a:pt x="10681" y="272"/>
                              </a:cubicBezTo>
                              <a:cubicBezTo>
                                <a:pt x="10923" y="307"/>
                                <a:pt x="11328" y="353"/>
                                <a:pt x="11507" y="359"/>
                              </a:cubicBezTo>
                              <a:cubicBezTo>
                                <a:pt x="11686" y="365"/>
                                <a:pt x="11716" y="317"/>
                                <a:pt x="11758" y="309"/>
                              </a:cubicBezTo>
                            </a:path>
                          </a:pathLst>
                        </a:custGeom>
                        <a:solidFill>
                          <a:srgbClr val="00B050"/>
                        </a:solidFill>
                        <a:ln>
                          <a:solidFill>
                            <a:srgbClr val="00B050"/>
                          </a:solidFill>
                        </a:ln>
                        <a:effec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3348874" id="Forme libre 13" o:spid="_x0000_s1026" style="position:absolute;margin-left:-65.6pt;margin-top:-8pt;width:627.2pt;height:15.85pt;flip:x 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1758,8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uTbgUAAG0SAAAOAAAAZHJzL2Uyb0RvYy54bWysWG1v2zYQ/j5g/4HQxwGLReqFlBGnWFtk&#10;G9BtBZr2uyxLtjBZ1Cg5Tvrrd3ekHSq1UmXYF0EiT/f28I4Pef3mYd+w+9L0tW5XAb8KA1a2hd7U&#10;7XYVfL67/VkFrB/ydpM3ui1XwWPZB29ufvzh+tgtS6F3utmUhoGStl8eu1WwG4ZuuVj0xa7c5/2V&#10;7soWJitt9vkAn2a72Jj8CNr3zUKEYbo4arPpjC7KvofR93YyuCH9VVUWw19V1ZcDa1YB+DbQ09Bz&#10;jc/FzXW+3Jq829WFcyP/D17s87oFo2dV7/MhZwdTf6NqXxdG97oargq9X+iqqouSYoBoePgsmk+7&#10;vCspFkhO353T1P9/aos/7z8aVm8Auyhgbb4HjG4h2yVr6rUpGYxCio5dvwTJT91Hg0H23Qdd/N3D&#10;xGI0gx89yLD18Q+9AU35YdCUlofK7FnV1N1vYCigty/4htogCeyBEHk8I1I+DKyAQZmlSRwDcAXM&#10;QYZElqA/i3yJGvHv4tAPv5aa3vP7D/1gEd3AG+GxcUHdgZJq3wC4Py1YyI6Mc5koh/9ZCH07CUVJ&#10;xnZMKflcSPhCSk3pgnyedcWZvKwr9oSUTKd0JZ5YysPLulJPiMehmFImPTkpxGVlULdn7wUPoyll&#10;mScnp6LkfvIjkSRT2rgPgFLJZd+4j0CcqEnncE2fo1BTeeM+CEkay0nvfBiSSe98HNIomgSV+0BE&#10;YPbiauM+EpKL6dz5UPA4vaxO+FBIOb18hQ+F4BPafCSyKJlEQvhITGrzgeBhOL1OhI/EdKw+EjxM&#10;FZ9CVvhQCDlRE8KHgvMknFwpwsdispFEPhbUj6b8i3wwotBrTNAKt6dml+9O/a94aF0DhDeW42Yc&#10;UrPtdI/NFrshdNQ77ropSFEzvSwMIKMwbQVg72VhwBCFT336ZWEACIWpxX5XM2QfhbNZPmPLQWno&#10;KHbDeNkRbCkkPi9IbBkkPi9M7uKEip/ljIuUzwsVSxqdgYqdo124UKEkZ4m7UKHkZom7UKGiZom7&#10;UKFg5ohjxWCoUA+euF05bsEb4HzP2Z4JGLC9Nf6TL7t8wDo5vbIjEBHiAmy3CnC7x5m9vi/vNMkM&#10;T+wEKtnZfZovDuu6eFt+9aU5Nk/wMw4deehIiYht6uOEcgmu0HCkbBKAJJyiGum8ZCGJLCxJRB6d&#10;VEkwiIYTSeCehoFZ0DBQh9kWeBhDkwVdsCG6xJG3nGfW3TQjEE42kHGQPFCK+UbS0Homk5HDXGY2&#10;PikdR3cZBCZijbwiVyJ21a1E7EcilMNDqZFxJChkBAjI7EiiNLVpORNG63HMlY1EpaNIkLZYI6/A&#10;JM6Uy/FYWRI5j9OUcn/CBMkMGQGyMjuSJIM1RYsodPzYRpKGma2+GBqOrSRaEEhxSB4ozGwjaeIi&#10;EXKESYpYoHE43PlGkPjQOGz2s43IKLXhZ6OsyBiZF5bneBjIkDV9bi7fLUPFoSOgqpGzKpPW2dEo&#10;0qPX6s8k7vzfuJopV/5QpH6WiDOR/GvSxEPh+gOHDHjIgna3FEQ07gHIpWws8hXFHmZIAyGaaNwX&#10;OY+QWuHEszaAHMtNnDrvuBuOv+xC5TxVbkWmo0YLbd7txBGsAD9Q2//Js0t2YIPBXYMOnuftA3cd&#10;7/DZ66be3NZNg5tGb7brd41h9zneO4Rvw4SWAvwyEmuIdY2GZv0JeuyvJV1xWNZHZ3E8ftvz+lpv&#10;HuEobrS984A7GnjZafM1YEe471gF/T+H3JQBa35v4UIh43TOHugjTiSSCuPPrP2ZvC1A1SoYAiCX&#10;+PpusJcqh87U2x1Ysmf7Vv8CVwBVjady8s965T7gToNS6u5f8NLE/yapp1uim38BAAD//wMAUEsD&#10;BBQABgAIAAAAIQD0fCq33wAAAAwBAAAPAAAAZHJzL2Rvd25yZXYueG1sTI9BT4NAEIXvJv6HzZh4&#10;axeoIkGWxpjYS/Ug9Qds2RFI2VlktwX/vcPJ3t7MvLz5XrGdbS8uOPrOkYJ4HYFAqp3pqFHwdXhb&#10;ZSB80GR07wgV/KKHbXl7U+jcuIk+8VKFRnAI+VwraEMYcil93aLVfu0GJL59u9HqwOPYSDPqicNt&#10;L5MoSqXVHfGHVg/42mJ9qs5WwS79mR4Gyg7VvnMn/7F/33VRptT93fzyDCLgHP7NsOAzOpTMdHRn&#10;Ml70ClbxJk7Yu6iUWy2WONnw6sjq8QlkWcjrEuUfAAAA//8DAFBLAQItABQABgAIAAAAIQC2gziS&#10;/gAAAOEBAAATAAAAAAAAAAAAAAAAAAAAAABbQ29udGVudF9UeXBlc10ueG1sUEsBAi0AFAAGAAgA&#10;AAAhADj9If/WAAAAlAEAAAsAAAAAAAAAAAAAAAAALwEAAF9yZWxzLy5yZWxzUEsBAi0AFAAGAAgA&#10;AAAhAL5m25NuBQAAbRIAAA4AAAAAAAAAAAAAAAAALgIAAGRycy9lMm9Eb2MueG1sUEsBAi0AFAAG&#10;AAgAAAAhAPR8KrffAAAADAEAAA8AAAAAAAAAAAAAAAAAyAcAAGRycy9kb3ducmV2LnhtbFBLBQYA&#10;AAAABAAEAPMAAADUCAAAAAA=&#10;" path="m,359v121,48,242,96,388,138c534,539,707,573,876,610v169,37,322,81,526,112c1606,753,1794,770,2103,797v309,27,739,86,1152,88c3668,887,4184,860,4583,810,4982,760,5355,662,5647,585v292,-77,443,-165,689,-238c6582,274,6883,200,7125,146,7367,92,7417,42,7788,21,8159,,8975,,9353,21v378,21,481,83,702,125c10276,188,10439,237,10681,272v242,35,647,81,826,87c11686,365,11716,317,11758,309e" fillcolor="#00b050" strokecolor="#00b050">
                <v:path arrowok="t" o:connecttype="custom" o:connectlocs="0,81471;262850,112789;593445,138433;949783,163850;1424674,180870;2205095,200841;3104747,183821;3825552,132759;4292314,78748;4826821,33133;5275969,4766;6336176,4766;6811745,33133;7235828,61727;7795400,81471;7965440,70124" o:connectangles="0,0,0,0,0,0,0,0,0,0,0,0,0,0,0,0"/>
              </v:shape>
            </w:pict>
          </mc:Fallback>
        </mc:AlternateContent>
      </w:r>
      <w:r w:rsidRPr="001707C0">
        <w:rPr>
          <w:rFonts w:ascii="Garamond" w:hAnsi="Garamond"/>
          <w:noProof/>
          <w:color w:val="FF0000"/>
          <w:lang w:eastAsia="fr-FR"/>
        </w:rPr>
        <mc:AlternateContent>
          <mc:Choice Requires="wps">
            <w:drawing>
              <wp:anchor distT="0" distB="0" distL="114300" distR="114300" simplePos="0" relativeHeight="251662336" behindDoc="0" locked="0" layoutInCell="1" allowOverlap="1" wp14:anchorId="2F2A0D40" wp14:editId="7B4B2F41">
                <wp:simplePos x="0" y="0"/>
                <wp:positionH relativeFrom="column">
                  <wp:posOffset>-1043940</wp:posOffset>
                </wp:positionH>
                <wp:positionV relativeFrom="paragraph">
                  <wp:posOffset>-123190</wp:posOffset>
                </wp:positionV>
                <wp:extent cx="7849235" cy="222885"/>
                <wp:effectExtent l="0" t="0" r="0" b="5715"/>
                <wp:wrapNone/>
                <wp:docPr id="15" name="Forme libr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7849235" cy="222885"/>
                        </a:xfrm>
                        <a:custGeom>
                          <a:avLst/>
                          <a:gdLst>
                            <a:gd name="T0" fmla="*/ 0 w 11758"/>
                            <a:gd name="T1" fmla="*/ 359 h 887"/>
                            <a:gd name="T2" fmla="*/ 388 w 11758"/>
                            <a:gd name="T3" fmla="*/ 497 h 887"/>
                            <a:gd name="T4" fmla="*/ 876 w 11758"/>
                            <a:gd name="T5" fmla="*/ 610 h 887"/>
                            <a:gd name="T6" fmla="*/ 1402 w 11758"/>
                            <a:gd name="T7" fmla="*/ 722 h 887"/>
                            <a:gd name="T8" fmla="*/ 2103 w 11758"/>
                            <a:gd name="T9" fmla="*/ 797 h 887"/>
                            <a:gd name="T10" fmla="*/ 3255 w 11758"/>
                            <a:gd name="T11" fmla="*/ 885 h 887"/>
                            <a:gd name="T12" fmla="*/ 4583 w 11758"/>
                            <a:gd name="T13" fmla="*/ 810 h 887"/>
                            <a:gd name="T14" fmla="*/ 5647 w 11758"/>
                            <a:gd name="T15" fmla="*/ 585 h 887"/>
                            <a:gd name="T16" fmla="*/ 6336 w 11758"/>
                            <a:gd name="T17" fmla="*/ 347 h 887"/>
                            <a:gd name="T18" fmla="*/ 7125 w 11758"/>
                            <a:gd name="T19" fmla="*/ 146 h 887"/>
                            <a:gd name="T20" fmla="*/ 7788 w 11758"/>
                            <a:gd name="T21" fmla="*/ 21 h 887"/>
                            <a:gd name="T22" fmla="*/ 9353 w 11758"/>
                            <a:gd name="T23" fmla="*/ 21 h 887"/>
                            <a:gd name="T24" fmla="*/ 10055 w 11758"/>
                            <a:gd name="T25" fmla="*/ 146 h 887"/>
                            <a:gd name="T26" fmla="*/ 10681 w 11758"/>
                            <a:gd name="T27" fmla="*/ 272 h 887"/>
                            <a:gd name="T28" fmla="*/ 11507 w 11758"/>
                            <a:gd name="T29" fmla="*/ 359 h 887"/>
                            <a:gd name="T30" fmla="*/ 11758 w 11758"/>
                            <a:gd name="T31" fmla="*/ 309 h 8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1758" h="887">
                              <a:moveTo>
                                <a:pt x="0" y="359"/>
                              </a:moveTo>
                              <a:cubicBezTo>
                                <a:pt x="121" y="407"/>
                                <a:pt x="242" y="455"/>
                                <a:pt x="388" y="497"/>
                              </a:cubicBezTo>
                              <a:cubicBezTo>
                                <a:pt x="534" y="539"/>
                                <a:pt x="707" y="573"/>
                                <a:pt x="876" y="610"/>
                              </a:cubicBezTo>
                              <a:cubicBezTo>
                                <a:pt x="1045" y="647"/>
                                <a:pt x="1198" y="691"/>
                                <a:pt x="1402" y="722"/>
                              </a:cubicBezTo>
                              <a:cubicBezTo>
                                <a:pt x="1606" y="753"/>
                                <a:pt x="1794" y="770"/>
                                <a:pt x="2103" y="797"/>
                              </a:cubicBezTo>
                              <a:cubicBezTo>
                                <a:pt x="2412" y="824"/>
                                <a:pt x="2842" y="883"/>
                                <a:pt x="3255" y="885"/>
                              </a:cubicBezTo>
                              <a:cubicBezTo>
                                <a:pt x="3668" y="887"/>
                                <a:pt x="4184" y="860"/>
                                <a:pt x="4583" y="810"/>
                              </a:cubicBezTo>
                              <a:cubicBezTo>
                                <a:pt x="4982" y="760"/>
                                <a:pt x="5355" y="662"/>
                                <a:pt x="5647" y="585"/>
                              </a:cubicBezTo>
                              <a:cubicBezTo>
                                <a:pt x="5939" y="508"/>
                                <a:pt x="6090" y="420"/>
                                <a:pt x="6336" y="347"/>
                              </a:cubicBezTo>
                              <a:cubicBezTo>
                                <a:pt x="6582" y="274"/>
                                <a:pt x="6883" y="200"/>
                                <a:pt x="7125" y="146"/>
                              </a:cubicBezTo>
                              <a:cubicBezTo>
                                <a:pt x="7367" y="92"/>
                                <a:pt x="7417" y="42"/>
                                <a:pt x="7788" y="21"/>
                              </a:cubicBezTo>
                              <a:cubicBezTo>
                                <a:pt x="8159" y="0"/>
                                <a:pt x="8975" y="0"/>
                                <a:pt x="9353" y="21"/>
                              </a:cubicBezTo>
                              <a:cubicBezTo>
                                <a:pt x="9731" y="42"/>
                                <a:pt x="9834" y="104"/>
                                <a:pt x="10055" y="146"/>
                              </a:cubicBezTo>
                              <a:cubicBezTo>
                                <a:pt x="10276" y="188"/>
                                <a:pt x="10439" y="237"/>
                                <a:pt x="10681" y="272"/>
                              </a:cubicBezTo>
                              <a:cubicBezTo>
                                <a:pt x="10923" y="307"/>
                                <a:pt x="11328" y="353"/>
                                <a:pt x="11507" y="359"/>
                              </a:cubicBezTo>
                              <a:cubicBezTo>
                                <a:pt x="11686" y="365"/>
                                <a:pt x="11716" y="317"/>
                                <a:pt x="11758" y="309"/>
                              </a:cubicBezTo>
                            </a:path>
                          </a:pathLst>
                        </a:custGeom>
                        <a:solidFill>
                          <a:srgbClr val="FF0000"/>
                        </a:solidFill>
                        <a:ln>
                          <a:noFill/>
                        </a:ln>
                        <a:effec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21C3431" id="Forme libre 15" o:spid="_x0000_s1026" style="position:absolute;margin-left:-82.2pt;margin-top:-9.7pt;width:618.05pt;height:17.55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1758,8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UfLZgUAADoSAAAOAAAAZHJzL2Uyb0RvYy54bWysWNtu4zYQfS/QfyD0WKCxSF1IGXEW7S5S&#10;FNi2C2zad1kXW6gsqpQcJ/v1nRnSDpVaXaWoHwyJHM3tcIaHvH33dGjZY2WGRnebgN+EAau6QpdN&#10;t9sEvz/cf68CNox5V+at7qpN8FwNwbu7b7+5PfXrSui9bsvKMFDSDetTvwn249ivV6uh2FeHfLjR&#10;fdXBZK3NIR/h1exWpclPoP3QrkQYpquTNmVvdFENA4x+sJPBHemv66oYf6vroRpZuwnAt5H+Df1v&#10;8X91d5uvdybv903h3Mj/gxeHvOnA6EXVh3zM2dE0/1B1aAqjB12PN4U+rHRdN0VFMUA0PHwVzed9&#10;3lcUCyRn6C9pGv4/tcWvj58Ma0rALglYlx8Ao3vIdsXaZmsqBqOQolM/rEHyc//JYJBD/1EXfw4w&#10;sZrM4MsAMmx7+kWXoCk/jprS8lSbA6vbpv8DDNEIhM6eCIfnCw7V08gKGJQqzkQE/hQwJ4RQirxY&#10;5WvUgx4Ux2H8qdL0nD9+HEaLYwlPhELpQnkAzOtDC5B+t2IhOzHOZaIc6hch7glFScb2TCn5Wkj4&#10;QkrN6Yo8sTiT13XFnpCS6ZwuyMDF+ZSH13WlnhCPQzGnTHpyUojryqBaLxYFD6M5ZZknJ+ei5H7y&#10;I5Ekc9q4DwCAfd037iMQJ2rWOe5joObyxn0QkjSWs975MCSz3vk4pFE0Cyr3gYjA7NXVxn0kJBfz&#10;ufOh4HF6XZ3woZByfvkKHwrBZ7T5SGRRMouE8JGY1eYDwcNwfp0IH4n5WH0keJgqPoes8KEQcqYm&#10;hA8F50k4u1KEj8VsI4l8LKgfzfkX+WBEodeYoBXuzs0u35/7X/HUuQYITyzHLTikZtvrAZstdkPo&#10;qA8cexuoAClqpteFAWQUjhYJA4YofO7T/64ZAEJharFfdQOyj8LZIjew5aA0dJQlIWJLIfFlQWLL&#10;IPFlYXIXJ1T8ImdcpHxZqFjS6AxU7BLtwoUKJblI3IUKJbdI3IUKFbVI3IUKBbNEHCsGQ4V68MTt&#10;ynEL3gDTe83xTMCA423xm3zd5yPWyfmRnYCIEBdg+02A2z3OHPRj9aBJZnxhJ1DJzu7LfHHcNsWP&#10;1RdfmmPzBD/j0JGHnpSI2KY+TiiX4AoNR8omAUjCOaqJzmsWksjCkkTk0VmVBINoOJEE7nkYmAUN&#10;A3VYbIGHMTRZ0AUbokscect5Zt1NMwLhbAMZB8kDpVhuJA2tZzKZOMxlZuOT0jFzl0FgItbIG3Il&#10;YlfdSsR+JEI5PJSaGEeCQkZe2OYUgumbAzFNbVouhNGOx1zZSFQ6iQRpizXyBkziTLkcT5UlkfM4&#10;TSn3Z0yQzJARICuLMUkyWFO0iELHj20kaZjZ6ouh4dhKogWBFIfkgcIsNpImLhIhJ5ikiAUahyOd&#10;bwSJD43DZr/YiIxSG342yYqMuR0G+L04kAxZ05fm8tUyVBw6Aro7cVZl0jo7GUV69Fb9mcSdH/RP&#10;Xc2UK38oUj8E4kwk/5Y08VC4/sAhA15GQLtbCiKa9gDkUjYW+YZiD+EsR19F077IeYTUCsLEFPkO&#10;IMdyE+fOOy2+6ZtdqJynyq3IdNJooc27nTiCFTCxg2dBciC8Zgc2GNw1iCpdtg/cdbzD56Dbprxv&#10;2hY3jcHstu9bwx5zuG24vw/hh/bgk4lYS6yr0/iZnbYjFd1XWDJHB2s8S9vD91aXz3CuNtpeYMCF&#10;CzzstfkSsBNcXmyC4a9jbqqAtT93cDuQ8TiGqh3pJU4kcgXjz2z9mbwrQNUmGAPgjPj4frQ3JMfe&#10;NLs9WLJH9k7/AOf5usHDNvlnvXIvcEFBobrLFLwB8d9J6uXK5+5vAAAA//8DAFBLAwQUAAYACAAA&#10;ACEATEzp994AAAAMAQAADwAAAGRycy9kb3ducmV2LnhtbEyPQU7DMBBF90jcwRokdq2dqDRtGqeq&#10;qDgAAQFL154mEbEdxU4abs9kBbs3mq8/b4rjbDs24RBa7yQkawEMnfamdbWE97eX1Q5YiMoZ1XmH&#10;En4wwLG8vytUbvzNveJUxZpRiQu5ktDE2OecB92gVWHte3S0u/rBqkjjUHMzqBuV246nQmy5Va2j&#10;C43q8blB/V2NVoKuP89afM1pmlUffH8er8lJT1I+PsynA7CIc/wLw6JP6lCS08WPzgTWSVgl282G&#10;sgvtCZaIyJIM2IXoKQNeFvz/E+UvAAAA//8DAFBLAQItABQABgAIAAAAIQC2gziS/gAAAOEBAAAT&#10;AAAAAAAAAAAAAAAAAAAAAABbQ29udGVudF9UeXBlc10ueG1sUEsBAi0AFAAGAAgAAAAhADj9If/W&#10;AAAAlAEAAAsAAAAAAAAAAAAAAAAALwEAAF9yZWxzLy5yZWxzUEsBAi0AFAAGAAgAAAAhAB1VR8tm&#10;BQAAOhIAAA4AAAAAAAAAAAAAAAAALgIAAGRycy9lMm9Eb2MueG1sUEsBAi0AFAAGAAgAAAAhAExM&#10;6ffeAAAADAEAAA8AAAAAAAAAAAAAAAAAwAcAAGRycy9kb3ducmV2LnhtbFBLBQYAAAAABAAEAPMA&#10;AADLCAAAAAA=&#10;" path="m,359v121,48,242,96,388,138c534,539,707,573,876,610v169,37,322,81,526,112c1606,753,1794,770,2103,797v309,27,739,86,1152,88c3668,887,4184,860,4583,810,4982,760,5355,662,5647,585v292,-77,443,-165,689,-238c6582,274,6883,200,7125,146,7367,92,7417,42,7788,21,8159,,8975,,9353,21v378,21,481,83,702,125c10276,188,10439,237,10681,272v242,35,647,81,826,87c11686,365,11716,317,11758,309e" fillcolor="red" stroked="f">
                <v:path arrowok="t" o:connecttype="custom" o:connectlocs="0,90209;259015,124886;584787,153281;935927,181424;1403890,200270;2172926,222382;3059453,203536;3769742,146999;4229695,87194;4756404,36687;5199000,5277;6243740,5277;6712371,36687;7130267,68348;7681676,90209;7849235,77645" o:connectangles="0,0,0,0,0,0,0,0,0,0,0,0,0,0,0,0"/>
              </v:shape>
            </w:pict>
          </mc:Fallback>
        </mc:AlternateContent>
      </w:r>
      <w:r w:rsidRPr="001707C0">
        <w:rPr>
          <w:rFonts w:ascii="Garamond" w:hAnsi="Garamond"/>
          <w:noProof/>
          <w:color w:val="FF0000"/>
          <w:sz w:val="24"/>
          <w:szCs w:val="24"/>
        </w:rPr>
        <w:t xml:space="preserve">     </w:t>
      </w:r>
    </w:p>
    <w:p w:rsidR="00424709" w:rsidRPr="001707C0" w:rsidRDefault="00424709" w:rsidP="00424709">
      <w:pPr>
        <w:rPr>
          <w:rFonts w:ascii="Garamond" w:hAnsi="Garamond"/>
          <w:noProof/>
          <w:color w:val="FF0000"/>
          <w:sz w:val="24"/>
          <w:szCs w:val="24"/>
        </w:rPr>
        <w:sectPr w:rsidR="00424709" w:rsidRPr="001707C0" w:rsidSect="00424709">
          <w:footerReference w:type="first" r:id="rId7"/>
          <w:pgSz w:w="11906" w:h="16838"/>
          <w:pgMar w:top="1440" w:right="1440" w:bottom="1440" w:left="1440" w:header="708" w:footer="708" w:gutter="0"/>
          <w:cols w:num="2" w:space="708"/>
        </w:sectPr>
      </w:pPr>
    </w:p>
    <w:p w:rsidR="00424709" w:rsidRPr="001707C0" w:rsidRDefault="00424709" w:rsidP="00424709">
      <w:pPr>
        <w:rPr>
          <w:rFonts w:ascii="Garamond" w:hAnsi="Garamond"/>
          <w:noProof/>
          <w:color w:val="FF0000"/>
          <w:sz w:val="24"/>
          <w:szCs w:val="24"/>
        </w:rPr>
      </w:pPr>
      <w:r w:rsidRPr="001707C0">
        <w:rPr>
          <w:rFonts w:ascii="Garamond" w:hAnsi="Garamond"/>
          <w:noProof/>
          <w:color w:val="FF0000"/>
          <w:sz w:val="24"/>
          <w:szCs w:val="24"/>
        </w:rPr>
        <w:t xml:space="preserve">                                                                             </w:t>
      </w:r>
      <w:r w:rsidRPr="001707C0">
        <w:rPr>
          <w:rFonts w:ascii="Garamond" w:hAnsi="Garamond"/>
          <w:noProof/>
          <w:color w:val="FF0000"/>
          <w:lang w:eastAsia="fr-FR"/>
        </w:rPr>
        <w:drawing>
          <wp:inline distT="0" distB="0" distL="0" distR="0" wp14:anchorId="0E60DD1B" wp14:editId="350F1E77">
            <wp:extent cx="685800" cy="619125"/>
            <wp:effectExtent l="0" t="0" r="0" b="952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5800" cy="619125"/>
                    </a:xfrm>
                    <a:prstGeom prst="rect">
                      <a:avLst/>
                    </a:prstGeom>
                    <a:noFill/>
                    <a:ln>
                      <a:noFill/>
                    </a:ln>
                  </pic:spPr>
                </pic:pic>
              </a:graphicData>
            </a:graphic>
          </wp:inline>
        </w:drawing>
      </w:r>
    </w:p>
    <w:p w:rsidR="00424709" w:rsidRPr="001707C0" w:rsidRDefault="00424709" w:rsidP="00424709">
      <w:pPr>
        <w:jc w:val="center"/>
        <w:rPr>
          <w:rFonts w:ascii="Garamond" w:hAnsi="Garamond"/>
          <w:color w:val="FF0000"/>
        </w:rPr>
      </w:pPr>
    </w:p>
    <w:p w:rsidR="00424709" w:rsidRPr="001707C0" w:rsidRDefault="00424709" w:rsidP="00424709">
      <w:pPr>
        <w:jc w:val="center"/>
        <w:rPr>
          <w:rFonts w:ascii="Garamond" w:hAnsi="Garamond"/>
          <w:b/>
          <w:color w:val="5B9BD5" w:themeColor="accent1"/>
          <w:sz w:val="28"/>
          <w:szCs w:val="28"/>
        </w:rPr>
      </w:pPr>
      <w:r w:rsidRPr="001707C0">
        <w:rPr>
          <w:rFonts w:ascii="Garamond" w:hAnsi="Garamond"/>
          <w:b/>
          <w:color w:val="5B9BD5" w:themeColor="accent1"/>
          <w:sz w:val="28"/>
          <w:szCs w:val="28"/>
        </w:rPr>
        <w:t>BANQUE DE LA REPUBLIQUE DU BURUNDI</w:t>
      </w:r>
    </w:p>
    <w:p w:rsidR="00424709" w:rsidRPr="001707C0" w:rsidRDefault="00424709" w:rsidP="00424709">
      <w:pPr>
        <w:rPr>
          <w:rFonts w:ascii="Garamond" w:hAnsi="Garamond"/>
          <w:color w:val="FF0000"/>
          <w:sz w:val="28"/>
          <w:szCs w:val="28"/>
        </w:rPr>
      </w:pPr>
    </w:p>
    <w:p w:rsidR="00424709" w:rsidRPr="001707C0" w:rsidRDefault="00424709" w:rsidP="00424709">
      <w:pPr>
        <w:rPr>
          <w:rFonts w:ascii="Garamond" w:hAnsi="Garamond"/>
          <w:color w:val="FF0000"/>
          <w:sz w:val="28"/>
          <w:szCs w:val="28"/>
        </w:rPr>
      </w:pPr>
    </w:p>
    <w:p w:rsidR="00424709" w:rsidRPr="001707C0" w:rsidRDefault="00424709" w:rsidP="00424709">
      <w:pPr>
        <w:rPr>
          <w:rFonts w:ascii="Garamond" w:hAnsi="Garamond"/>
          <w:color w:val="FF0000"/>
          <w:sz w:val="28"/>
          <w:szCs w:val="28"/>
        </w:rPr>
      </w:pPr>
    </w:p>
    <w:p w:rsidR="00424709" w:rsidRPr="001707C0" w:rsidRDefault="00424709" w:rsidP="00424709">
      <w:pPr>
        <w:rPr>
          <w:rFonts w:ascii="Garamond" w:hAnsi="Garamond"/>
          <w:color w:val="FF0000"/>
          <w:sz w:val="28"/>
          <w:szCs w:val="28"/>
        </w:rPr>
      </w:pPr>
    </w:p>
    <w:p w:rsidR="00424709" w:rsidRPr="001707C0" w:rsidRDefault="00424709" w:rsidP="00424709">
      <w:pPr>
        <w:rPr>
          <w:rFonts w:ascii="Garamond" w:hAnsi="Garamond"/>
          <w:color w:val="FF0000"/>
          <w:sz w:val="28"/>
          <w:szCs w:val="28"/>
        </w:rPr>
      </w:pPr>
    </w:p>
    <w:p w:rsidR="00424709" w:rsidRPr="001707C0" w:rsidRDefault="00424709" w:rsidP="00424709">
      <w:pPr>
        <w:rPr>
          <w:rFonts w:ascii="Garamond" w:hAnsi="Garamond"/>
          <w:color w:val="5B9BD5" w:themeColor="accent1"/>
          <w:sz w:val="28"/>
          <w:szCs w:val="28"/>
        </w:rPr>
      </w:pPr>
      <w:r w:rsidRPr="001707C0">
        <w:rPr>
          <w:rFonts w:ascii="Garamond" w:hAnsi="Garamond"/>
          <w:noProof/>
          <w:color w:val="FF0000"/>
          <w:lang w:eastAsia="fr-FR"/>
        </w:rPr>
        <w:drawing>
          <wp:anchor distT="0" distB="381" distL="114300" distR="114300" simplePos="0" relativeHeight="251661312" behindDoc="0" locked="0" layoutInCell="1" allowOverlap="1" wp14:anchorId="201083EA" wp14:editId="34A162D4">
            <wp:simplePos x="0" y="0"/>
            <wp:positionH relativeFrom="column">
              <wp:align>left</wp:align>
            </wp:positionH>
            <wp:positionV relativeFrom="paragraph">
              <wp:align>top</wp:align>
            </wp:positionV>
            <wp:extent cx="1958975" cy="1469009"/>
            <wp:effectExtent l="0" t="0" r="3175" b="0"/>
            <wp:wrapSquare wrapText="bothSides"/>
            <wp:docPr id="20" name="Image 20" descr="C:\Users\mmf\Pictures\BRB.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descr="C:\Users\mmf\Pictures\BRB.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58975" cy="1468755"/>
                    </a:xfrm>
                    <a:prstGeom prst="rect">
                      <a:avLst/>
                    </a:prstGeom>
                    <a:ln>
                      <a:noFill/>
                    </a:ln>
                    <a:effectLst>
                      <a:softEdge rad="112500"/>
                    </a:effectLst>
                  </pic:spPr>
                </pic:pic>
              </a:graphicData>
            </a:graphic>
            <wp14:sizeRelH relativeFrom="margin">
              <wp14:pctWidth>0</wp14:pctWidth>
            </wp14:sizeRelH>
            <wp14:sizeRelV relativeFrom="page">
              <wp14:pctHeight>0</wp14:pctHeight>
            </wp14:sizeRelV>
          </wp:anchor>
        </w:drawing>
      </w:r>
    </w:p>
    <w:p w:rsidR="00424709" w:rsidRPr="001707C0" w:rsidRDefault="00424709" w:rsidP="00424709">
      <w:pPr>
        <w:spacing w:after="120"/>
        <w:rPr>
          <w:rFonts w:ascii="Garamond" w:hAnsi="Garamond"/>
          <w:b/>
          <w:color w:val="5B9BD5" w:themeColor="accent1"/>
          <w:sz w:val="40"/>
          <w:szCs w:val="40"/>
          <w:lang w:val="en-GB"/>
        </w:rPr>
      </w:pPr>
      <w:r w:rsidRPr="001707C0">
        <w:rPr>
          <w:rFonts w:ascii="Garamond" w:hAnsi="Garamond"/>
          <w:b/>
          <w:color w:val="5B9BD5" w:themeColor="accent1"/>
          <w:sz w:val="40"/>
          <w:szCs w:val="40"/>
        </w:rPr>
        <w:t xml:space="preserve"> </w:t>
      </w:r>
      <w:r w:rsidRPr="001707C0">
        <w:rPr>
          <w:rFonts w:ascii="Garamond" w:hAnsi="Garamond"/>
          <w:b/>
          <w:color w:val="5B9BD5" w:themeColor="accent1"/>
          <w:sz w:val="40"/>
          <w:szCs w:val="40"/>
          <w:lang w:val="en-GB"/>
        </w:rPr>
        <w:t xml:space="preserve">Economic indicators   </w:t>
      </w:r>
    </w:p>
    <w:p w:rsidR="00424709" w:rsidRPr="001707C0" w:rsidRDefault="003A0E6C" w:rsidP="00424709">
      <w:pPr>
        <w:spacing w:after="120"/>
        <w:rPr>
          <w:rFonts w:ascii="Garamond" w:hAnsi="Garamond"/>
          <w:b/>
          <w:color w:val="FF0000"/>
          <w:sz w:val="40"/>
          <w:szCs w:val="40"/>
          <w:lang w:val="en-GB"/>
        </w:rPr>
      </w:pPr>
      <w:r w:rsidRPr="001707C0">
        <w:rPr>
          <w:rFonts w:ascii="Garamond" w:hAnsi="Garamond"/>
          <w:b/>
          <w:color w:val="5B9BD5" w:themeColor="accent1"/>
          <w:sz w:val="40"/>
          <w:szCs w:val="40"/>
          <w:lang w:val="en-GB"/>
        </w:rPr>
        <w:t xml:space="preserve">  May 2023</w:t>
      </w:r>
      <w:r w:rsidR="00424709" w:rsidRPr="001707C0">
        <w:rPr>
          <w:rFonts w:ascii="Garamond" w:hAnsi="Garamond"/>
          <w:b/>
          <w:color w:val="FF0000"/>
          <w:sz w:val="40"/>
          <w:szCs w:val="40"/>
          <w:lang w:val="en-GB"/>
        </w:rPr>
        <w:br w:type="textWrapping" w:clear="all"/>
      </w:r>
    </w:p>
    <w:p w:rsidR="00424709" w:rsidRPr="001707C0" w:rsidRDefault="00424709" w:rsidP="00424709">
      <w:pPr>
        <w:rPr>
          <w:rFonts w:ascii="Garamond" w:hAnsi="Garamond"/>
          <w:color w:val="FF0000"/>
          <w:sz w:val="28"/>
          <w:szCs w:val="28"/>
          <w:lang w:val="en-GB"/>
        </w:rPr>
      </w:pPr>
    </w:p>
    <w:p w:rsidR="00424709" w:rsidRPr="001707C0" w:rsidRDefault="00424709" w:rsidP="00424709">
      <w:pPr>
        <w:rPr>
          <w:rFonts w:ascii="Garamond" w:hAnsi="Garamond"/>
          <w:color w:val="FF0000"/>
          <w:sz w:val="28"/>
          <w:szCs w:val="28"/>
          <w:lang w:val="en-GB"/>
        </w:rPr>
      </w:pPr>
    </w:p>
    <w:p w:rsidR="00424709" w:rsidRPr="001707C0" w:rsidRDefault="00424709" w:rsidP="00424709">
      <w:pPr>
        <w:rPr>
          <w:rFonts w:ascii="Garamond" w:hAnsi="Garamond"/>
          <w:color w:val="FF0000"/>
          <w:sz w:val="28"/>
          <w:szCs w:val="28"/>
          <w:lang w:val="en-GB"/>
        </w:rPr>
      </w:pPr>
    </w:p>
    <w:p w:rsidR="00424709" w:rsidRPr="001707C0" w:rsidRDefault="00424709" w:rsidP="00424709">
      <w:pPr>
        <w:rPr>
          <w:rFonts w:ascii="Garamond" w:hAnsi="Garamond"/>
          <w:color w:val="FF0000"/>
          <w:sz w:val="28"/>
          <w:szCs w:val="28"/>
          <w:lang w:val="en-GB"/>
        </w:rPr>
      </w:pPr>
    </w:p>
    <w:p w:rsidR="00424709" w:rsidRPr="001707C0" w:rsidRDefault="00424709" w:rsidP="00424709">
      <w:pPr>
        <w:rPr>
          <w:rFonts w:ascii="Garamond" w:hAnsi="Garamond"/>
          <w:color w:val="FF0000"/>
          <w:sz w:val="28"/>
          <w:szCs w:val="28"/>
          <w:lang w:val="en-GB"/>
        </w:rPr>
      </w:pPr>
    </w:p>
    <w:p w:rsidR="00424709" w:rsidRPr="001707C0" w:rsidRDefault="00424709" w:rsidP="00424709">
      <w:pPr>
        <w:rPr>
          <w:rFonts w:ascii="Garamond" w:hAnsi="Garamond"/>
          <w:color w:val="FF0000"/>
          <w:sz w:val="28"/>
          <w:szCs w:val="28"/>
          <w:lang w:val="en-GB"/>
        </w:rPr>
      </w:pPr>
    </w:p>
    <w:p w:rsidR="00424709" w:rsidRPr="001707C0" w:rsidRDefault="00424709" w:rsidP="00424709">
      <w:pPr>
        <w:rPr>
          <w:rFonts w:ascii="Garamond" w:hAnsi="Garamond"/>
          <w:color w:val="FF0000"/>
          <w:sz w:val="28"/>
          <w:szCs w:val="28"/>
          <w:lang w:val="en-GB"/>
        </w:rPr>
      </w:pPr>
    </w:p>
    <w:p w:rsidR="00424709" w:rsidRPr="001707C0" w:rsidRDefault="00424709" w:rsidP="00424709">
      <w:pPr>
        <w:rPr>
          <w:rFonts w:ascii="Garamond" w:hAnsi="Garamond"/>
          <w:color w:val="FF0000"/>
          <w:sz w:val="28"/>
          <w:szCs w:val="28"/>
          <w:lang w:val="en-GB"/>
        </w:rPr>
      </w:pPr>
      <w:r w:rsidRPr="001707C0">
        <w:rPr>
          <w:rFonts w:ascii="Garamond" w:hAnsi="Garamond"/>
          <w:noProof/>
          <w:color w:val="FF0000"/>
          <w:lang w:eastAsia="fr-FR"/>
        </w:rPr>
        <mc:AlternateContent>
          <mc:Choice Requires="wps">
            <w:drawing>
              <wp:anchor distT="0" distB="0" distL="114300" distR="114300" simplePos="0" relativeHeight="251666432" behindDoc="0" locked="0" layoutInCell="1" allowOverlap="1" wp14:anchorId="2E59290C" wp14:editId="2D887685">
                <wp:simplePos x="0" y="0"/>
                <wp:positionH relativeFrom="column">
                  <wp:posOffset>2600325</wp:posOffset>
                </wp:positionH>
                <wp:positionV relativeFrom="paragraph">
                  <wp:posOffset>702945</wp:posOffset>
                </wp:positionV>
                <wp:extent cx="590550" cy="200025"/>
                <wp:effectExtent l="0" t="0" r="0" b="9525"/>
                <wp:wrapNone/>
                <wp:docPr id="5" name="Rectangle à coins arrondis 5"/>
                <wp:cNvGraphicFramePr/>
                <a:graphic xmlns:a="http://schemas.openxmlformats.org/drawingml/2006/main">
                  <a:graphicData uri="http://schemas.microsoft.com/office/word/2010/wordprocessingShape">
                    <wps:wsp>
                      <wps:cNvSpPr/>
                      <wps:spPr>
                        <a:xfrm>
                          <a:off x="0" y="0"/>
                          <a:ext cx="590550" cy="200025"/>
                        </a:xfrm>
                        <a:prstGeom prst="round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58B8949" id="Rectangle à coins arrondis 5" o:spid="_x0000_s1026" style="position:absolute;margin-left:204.75pt;margin-top:55.35pt;width:46.5pt;height:15.75pt;z-index:25166643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3nNggIAAEAFAAAOAAAAZHJzL2Uyb0RvYy54bWysVM1u2zAMvg/YOwi6r3aCpFuDOkWQosOA&#10;oi3aDj2rspQIk0WNUuJkT7N32YuNkh2363IadpFJkx9/PpE6v9g1lm0VBgOu4qOTkjPlJNTGrSr+&#10;9fHqwyfOQhSuFhacqvheBX4xf//uvPUzNYY12FohoyAuzFpf8XWMflYUQa5VI8IJeOXIqAEbEUnF&#10;VVGjaCl6Y4txWZ4WLWDtEaQKgf5edkY+z/G1VjLeah1UZLbiVFvMJ+bzOZ3F/FzMVij82si+DPEP&#10;VTTCOEo6hLoUUbANmr9CNUYiBNDxREJTgNZGqtwDdTMq33TzsBZe5V6InOAHmsL/CytvtnfITF3x&#10;KWdONHRF90SacCur2K+fTIJxgQlEcLUJbJoIa32YEe7B32GvBRJT9zuNTfpSX2yXSd4PJKtdZJJ+&#10;Ts/K6ZSuQpKJbrAc55jFC9hjiJ8VNCwJFUfYuDrVlPkV2+sQKSv5H/xSQuvS6eDKWNtZ058iVdrV&#10;lqW4t6rzvleamqZqxjlqHje1tMi2ggZFSKlcPE29Uh7ryDvBNAUfgKNjQBtHPaj3TTCVx3AAlseA&#10;f2YcEDkruDiAG+MAjwWovw2ZO/9D913Pqf1nqPd01wjdEgQvrwwxfC1CvBNIU0+XQpscb+nQFtqK&#10;Qy9xtgb8cex/8qdhJCtnLW1RxcP3jUDFmf3iaEzPRpNJWrusTKYfx6Tga8vza4vbNEsg/kf0ZniZ&#10;xeQf7UHUCM0TLfwiZSWTcJJyV1xGPCjL2G03PRlSLRbZjVbNi3jtHrxMwROraXged08CfT9mkebz&#10;Bg4bJ2ZvBq3zTUgHi00EbfIUvvDa801rmoemf1LSO/Baz14vD9/8NwAAAP//AwBQSwMEFAAGAAgA&#10;AAAhAEQ6MWXeAAAACwEAAA8AAABkcnMvZG93bnJldi54bWxMj8FOwzAQRO9I/IO1SNyo3dDSEOJU&#10;qCKnHoBS7q5tkqj2OrLdNvw9ywmOO/M0O1OvJ+/Y2cY0BJQwnwlgFnUwA3YS9h/tXQksZYVGuYBW&#10;wrdNsG6ur2pVmXDBd3ve5Y5RCKZKSehzHivOk+6tV2kWRovkfYXoVaYzdtxEdaFw73ghxAP3akD6&#10;0KvRbnqrj7uTl/D62W7eOn1fmu1xu29f3KovdZTy9mZ6fgKW7ZT/YPitT9WhoU6HcEKTmJOwEI9L&#10;QsmYixUwIpaiIOVAyqIogDc1/7+h+QEAAP//AwBQSwECLQAUAAYACAAAACEAtoM4kv4AAADhAQAA&#10;EwAAAAAAAAAAAAAAAAAAAAAAW0NvbnRlbnRfVHlwZXNdLnhtbFBLAQItABQABgAIAAAAIQA4/SH/&#10;1gAAAJQBAAALAAAAAAAAAAAAAAAAAC8BAABfcmVscy8ucmVsc1BLAQItABQABgAIAAAAIQDK23nN&#10;ggIAAEAFAAAOAAAAAAAAAAAAAAAAAC4CAABkcnMvZTJvRG9jLnhtbFBLAQItABQABgAIAAAAIQBE&#10;OjFl3gAAAAsBAAAPAAAAAAAAAAAAAAAAANwEAABkcnMvZG93bnJldi54bWxQSwUGAAAAAAQABADz&#10;AAAA5wUAAAAA&#10;" fillcolor="white [3201]" stroked="f" strokeweight="1pt">
                <v:stroke joinstyle="miter"/>
              </v:roundrect>
            </w:pict>
          </mc:Fallback>
        </mc:AlternateContent>
      </w:r>
      <w:r w:rsidRPr="001707C0">
        <w:rPr>
          <w:rFonts w:ascii="Garamond" w:hAnsi="Garamond"/>
          <w:noProof/>
          <w:color w:val="FF0000"/>
          <w:lang w:eastAsia="fr-FR"/>
        </w:rPr>
        <mc:AlternateContent>
          <mc:Choice Requires="wps">
            <w:drawing>
              <wp:anchor distT="0" distB="0" distL="114300" distR="114300" simplePos="0" relativeHeight="251665408" behindDoc="0" locked="0" layoutInCell="1" allowOverlap="1" wp14:anchorId="673798E4" wp14:editId="5AF15518">
                <wp:simplePos x="0" y="0"/>
                <wp:positionH relativeFrom="column">
                  <wp:posOffset>-899795</wp:posOffset>
                </wp:positionH>
                <wp:positionV relativeFrom="paragraph">
                  <wp:posOffset>250190</wp:posOffset>
                </wp:positionV>
                <wp:extent cx="7965440" cy="201295"/>
                <wp:effectExtent l="0" t="0" r="16510" b="27305"/>
                <wp:wrapNone/>
                <wp:docPr id="7" name="Forme libr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flipV="1">
                          <a:off x="0" y="0"/>
                          <a:ext cx="7965440" cy="201295"/>
                        </a:xfrm>
                        <a:custGeom>
                          <a:avLst/>
                          <a:gdLst>
                            <a:gd name="T0" fmla="*/ 0 w 11758"/>
                            <a:gd name="T1" fmla="*/ 359 h 887"/>
                            <a:gd name="T2" fmla="*/ 388 w 11758"/>
                            <a:gd name="T3" fmla="*/ 497 h 887"/>
                            <a:gd name="T4" fmla="*/ 876 w 11758"/>
                            <a:gd name="T5" fmla="*/ 610 h 887"/>
                            <a:gd name="T6" fmla="*/ 1402 w 11758"/>
                            <a:gd name="T7" fmla="*/ 722 h 887"/>
                            <a:gd name="T8" fmla="*/ 2103 w 11758"/>
                            <a:gd name="T9" fmla="*/ 797 h 887"/>
                            <a:gd name="T10" fmla="*/ 3255 w 11758"/>
                            <a:gd name="T11" fmla="*/ 885 h 887"/>
                            <a:gd name="T12" fmla="*/ 4583 w 11758"/>
                            <a:gd name="T13" fmla="*/ 810 h 887"/>
                            <a:gd name="T14" fmla="*/ 5647 w 11758"/>
                            <a:gd name="T15" fmla="*/ 585 h 887"/>
                            <a:gd name="T16" fmla="*/ 6336 w 11758"/>
                            <a:gd name="T17" fmla="*/ 347 h 887"/>
                            <a:gd name="T18" fmla="*/ 7125 w 11758"/>
                            <a:gd name="T19" fmla="*/ 146 h 887"/>
                            <a:gd name="T20" fmla="*/ 7788 w 11758"/>
                            <a:gd name="T21" fmla="*/ 21 h 887"/>
                            <a:gd name="T22" fmla="*/ 9353 w 11758"/>
                            <a:gd name="T23" fmla="*/ 21 h 887"/>
                            <a:gd name="T24" fmla="*/ 10055 w 11758"/>
                            <a:gd name="T25" fmla="*/ 146 h 887"/>
                            <a:gd name="T26" fmla="*/ 10681 w 11758"/>
                            <a:gd name="T27" fmla="*/ 272 h 887"/>
                            <a:gd name="T28" fmla="*/ 11507 w 11758"/>
                            <a:gd name="T29" fmla="*/ 359 h 887"/>
                            <a:gd name="T30" fmla="*/ 11758 w 11758"/>
                            <a:gd name="T31" fmla="*/ 309 h 8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1758" h="887">
                              <a:moveTo>
                                <a:pt x="0" y="359"/>
                              </a:moveTo>
                              <a:cubicBezTo>
                                <a:pt x="121" y="407"/>
                                <a:pt x="242" y="455"/>
                                <a:pt x="388" y="497"/>
                              </a:cubicBezTo>
                              <a:cubicBezTo>
                                <a:pt x="534" y="539"/>
                                <a:pt x="707" y="573"/>
                                <a:pt x="876" y="610"/>
                              </a:cubicBezTo>
                              <a:cubicBezTo>
                                <a:pt x="1045" y="647"/>
                                <a:pt x="1198" y="691"/>
                                <a:pt x="1402" y="722"/>
                              </a:cubicBezTo>
                              <a:cubicBezTo>
                                <a:pt x="1606" y="753"/>
                                <a:pt x="1794" y="770"/>
                                <a:pt x="2103" y="797"/>
                              </a:cubicBezTo>
                              <a:cubicBezTo>
                                <a:pt x="2412" y="824"/>
                                <a:pt x="2842" y="883"/>
                                <a:pt x="3255" y="885"/>
                              </a:cubicBezTo>
                              <a:cubicBezTo>
                                <a:pt x="3668" y="887"/>
                                <a:pt x="4184" y="860"/>
                                <a:pt x="4583" y="810"/>
                              </a:cubicBezTo>
                              <a:cubicBezTo>
                                <a:pt x="4982" y="760"/>
                                <a:pt x="5355" y="662"/>
                                <a:pt x="5647" y="585"/>
                              </a:cubicBezTo>
                              <a:cubicBezTo>
                                <a:pt x="5939" y="508"/>
                                <a:pt x="6090" y="420"/>
                                <a:pt x="6336" y="347"/>
                              </a:cubicBezTo>
                              <a:cubicBezTo>
                                <a:pt x="6582" y="274"/>
                                <a:pt x="6883" y="200"/>
                                <a:pt x="7125" y="146"/>
                              </a:cubicBezTo>
                              <a:cubicBezTo>
                                <a:pt x="7367" y="92"/>
                                <a:pt x="7417" y="42"/>
                                <a:pt x="7788" y="21"/>
                              </a:cubicBezTo>
                              <a:cubicBezTo>
                                <a:pt x="8159" y="0"/>
                                <a:pt x="8975" y="0"/>
                                <a:pt x="9353" y="21"/>
                              </a:cubicBezTo>
                              <a:cubicBezTo>
                                <a:pt x="9731" y="42"/>
                                <a:pt x="9834" y="104"/>
                                <a:pt x="10055" y="146"/>
                              </a:cubicBezTo>
                              <a:cubicBezTo>
                                <a:pt x="10276" y="188"/>
                                <a:pt x="10439" y="237"/>
                                <a:pt x="10681" y="272"/>
                              </a:cubicBezTo>
                              <a:cubicBezTo>
                                <a:pt x="10923" y="307"/>
                                <a:pt x="11328" y="353"/>
                                <a:pt x="11507" y="359"/>
                              </a:cubicBezTo>
                              <a:cubicBezTo>
                                <a:pt x="11686" y="365"/>
                                <a:pt x="11716" y="317"/>
                                <a:pt x="11758" y="309"/>
                              </a:cubicBezTo>
                            </a:path>
                          </a:pathLst>
                        </a:custGeom>
                        <a:solidFill>
                          <a:srgbClr val="00B050"/>
                        </a:solidFill>
                        <a:ln>
                          <a:solidFill>
                            <a:srgbClr val="00B050"/>
                          </a:solidFill>
                        </a:ln>
                        <a:effec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59C188" id="Forme libre 7" o:spid="_x0000_s1026" style="position:absolute;margin-left:-70.85pt;margin-top:19.7pt;width:627.2pt;height:15.85pt;flip:x 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1758,8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3R5UbQUAAGsSAAAOAAAAZHJzL2Uyb0RvYy54bWysWG1v2zYQ/j5g/4HQxwGLReqFlBGnWFtk&#10;G9CtBZruuyxLtjBZ1Cg5Tvrre3ekHSq1MmXYF0EiT/f28I4Pef3mYd+w+9L0tW5XAb8KA1a2hd7U&#10;7XYVfLm7/VkFrB/ydpM3ui1XwWPZB29ufvzh+tgtS6F3utmUhoGStl8eu1WwG4ZuuVj0xa7c5/2V&#10;7soWJitt9vkAn2a72Jj8CNr3zUKEYbo4arPpjC7KvofR93YyuCH9VVUWw8eq6suBNasAfBvoaei5&#10;xufi5jpfbk3e7erCuZH/By/2ed2C0bOq9/mQs4Opv1O1rwuje10NV4XeL3RV1UVJMUA0PHwWzedd&#10;3pUUCySn785p6v8/tcWf958MqzerQAaszfcA0S0ku2RNvTYlk5igY9cvQe5z98lgiH33QRd/9zCx&#10;GM3gRw8ybH38Q29AUX4YNCXloTJ7VjV19xsskYDe/sI31AYpYA+Ex+MZj/JhYAUMyixN4hhgK2AO&#10;8iOyBP1Z5EvUiH8Xh374tdT0nt9/6AeL5wbeCI2Ni+kOlFT7BqD9acFCdmScy0Q59M9C6NtJKEoy&#10;tmNKUQYA17OQ8IWUmtIVeWJxJi/rij0hJdMpXYknlvLwsq7UE+JxKKaUAc7nIKUQl5VB1Z6FBA+j&#10;KWWZJyenouR+8iORJFPauA+AUsll37iPQJyoSee4j4Gayhv3QUjSWE5658OQTHrn45BG0SSo3Aci&#10;ArMXVxv3kZBcTOfOh4LH6WV1wodCyunlK3woBJ/Q5iORRckkEsJHYlKbDwQPw+l1InwkpmP1keBh&#10;qvgUssKHQsiJmhA+FJwn4eRKET4Wk40k8rGgfjTlX+SDEYVeY4JWuD01u3x36n/FQ+saILyxHLfi&#10;kJptp3tsttgNoaPecddNQYqa6WVhABmFo1nCgCEKn/r0y5oBIBSmFguRvCwM2UfhbJYb2HJQGjqK&#10;3TBe1o0thcTnBYktg8TnhcldnFDxs5xxkfJ5oWJJozNQsXO0CxcqlOQscRcqlNwscRcqVNQscRcq&#10;FMwccawYDBXqwRO3K8cteAOM7znXMwEDrrfGf/Jllw9YJ6dXdgQiQlyA7VYBbvc4s9f35Z0mmeGJ&#10;nUAlO7tP88VhXRdvy6++NMfmCX7GoSMPHSkRsU19nFAuwRUajpRNApCEU1QjnZcsJJGFJYnIo5Mq&#10;CQbRcCIJ3NMwMAsaBuow2wIPY2iyoAs2RJc48pbzzLqbZgTCyQYyDpIHSjHfSBpaz2QycpjLzMYn&#10;pWPoLoPARKyRV+RKxK66lYj9SIRyeCg1Mo4EhYwAAZkdSZSmNi1nwmg9jrmykah0FAnSFmvkFZjE&#10;mXI5HitLIudxmlLuT5ggmSEjQFZmR5JksKZoEYWOH9tI0jCz1RdDw7GVRAsCKQ7JA4WZbSRNXCRC&#10;jjBJEQs0Dkc73wgSHxqHzX62ERmlNvxslBUZI/PC8hwPAxmyps/N5V/LUHHoCKhq5KzKpHV2NIr0&#10;6LX6M4k7/3euZsqVPxSpnyXiTCT/mjTxULj+wCEDHrKg3S0FEY17AHIpG4t8RbGHGdJAiCYa90XO&#10;I6RWOPGsDSDHchOnzjvuhuMvu1A5T5Vbkemo0UKbdztxBCvAD9T2f/Lskh3YYHDXoIPnefvAXcc7&#10;fPa6qTe3ddPgptGb7fpdY9h9jrcO4dswoaUAv4zEGmJdo6FZf4Ie+2tJFxyW9dFZHI/f9ry+1ptH&#10;OIobbW884IYGXnbafA3YEW47VkH/zyE3ZcCa31u4Tsg4nbMH+ogTiaTC+DNrfyZvC1C1CoYAyCW+&#10;vhvslcqhM/V2B5bs2b7Vv8AVQFXjqZz8s165D7jRoJS62xe8MvG/SerpjujmGwAAAP//AwBQSwME&#10;FAAGAAgAAAAhAGuKRITfAAAACwEAAA8AAABkcnMvZG93bnJldi54bWxMj8FOwzAMhu9IvENkJG5b&#10;mlFtpdSdEBK7DA50PEDWmjZa45QmW8vbk53gaPvT7+8vtrPtxYVGbxwjqGUCgrh2jeEW4fPwushA&#10;+KC50b1jQvghD9vy9qbQeeMm/qBLFVoRQ9jnGqELYcil9HVHVvulG4jj7cuNVoc4jq1sRj3FcNvL&#10;VZKspdWG44dOD/TSUX2qzhZht/6e0oGzQ7U37uTf9287k2SI93fz8xOIQHP4g+GqH9WhjE5Hd+bG&#10;ix5hoVK1iSzCw2MK4kootYqbI8JGKZBlIf93KH8BAAD//wMAUEsBAi0AFAAGAAgAAAAhALaDOJL+&#10;AAAA4QEAABMAAAAAAAAAAAAAAAAAAAAAAFtDb250ZW50X1R5cGVzXS54bWxQSwECLQAUAAYACAAA&#10;ACEAOP0h/9YAAACUAQAACwAAAAAAAAAAAAAAAAAvAQAAX3JlbHMvLnJlbHNQSwECLQAUAAYACAAA&#10;ACEAPN0eVG0FAABrEgAADgAAAAAAAAAAAAAAAAAuAgAAZHJzL2Uyb0RvYy54bWxQSwECLQAUAAYA&#10;CAAAACEAa4pEhN8AAAALAQAADwAAAAAAAAAAAAAAAADHBwAAZHJzL2Rvd25yZXYueG1sUEsFBgAA&#10;AAAEAAQA8wAAANMIAAAAAA==&#10;" path="m,359v121,48,242,96,388,138c534,539,707,573,876,610v169,37,322,81,526,112c1606,753,1794,770,2103,797v309,27,739,86,1152,88c3668,887,4184,860,4583,810,4982,760,5355,662,5647,585v292,-77,443,-165,689,-238c6582,274,6883,200,7125,146,7367,92,7417,42,7788,21,8159,,8975,,9353,21v378,21,481,83,702,125c10276,188,10439,237,10681,272v242,35,647,81,826,87c11686,365,11716,317,11758,309e" fillcolor="#00b050" strokecolor="#00b050">
                <v:path arrowok="t" o:connecttype="custom" o:connectlocs="0,81471;262850,112789;593445,138433;949783,163850;1424674,180870;2205095,200841;3104747,183821;3825552,132759;4292314,78748;4826821,33133;5275969,4766;6336176,4766;6811745,33133;7235828,61727;7795400,81471;7965440,70124" o:connectangles="0,0,0,0,0,0,0,0,0,0,0,0,0,0,0,0"/>
              </v:shape>
            </w:pict>
          </mc:Fallback>
        </mc:AlternateContent>
      </w:r>
      <w:r w:rsidRPr="001707C0">
        <w:rPr>
          <w:rFonts w:ascii="Garamond" w:hAnsi="Garamond"/>
          <w:noProof/>
          <w:color w:val="FF0000"/>
          <w:lang w:eastAsia="fr-FR"/>
        </w:rPr>
        <mc:AlternateContent>
          <mc:Choice Requires="wps">
            <w:drawing>
              <wp:anchor distT="0" distB="0" distL="114300" distR="114300" simplePos="0" relativeHeight="251664384" behindDoc="0" locked="0" layoutInCell="1" allowOverlap="1" wp14:anchorId="775A53A1" wp14:editId="5F47467D">
                <wp:simplePos x="0" y="0"/>
                <wp:positionH relativeFrom="column">
                  <wp:posOffset>-901700</wp:posOffset>
                </wp:positionH>
                <wp:positionV relativeFrom="paragraph">
                  <wp:posOffset>254635</wp:posOffset>
                </wp:positionV>
                <wp:extent cx="7504430" cy="201295"/>
                <wp:effectExtent l="0" t="0" r="1270" b="8255"/>
                <wp:wrapNone/>
                <wp:docPr id="6" name="Forme libr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7504430" cy="201295"/>
                        </a:xfrm>
                        <a:custGeom>
                          <a:avLst/>
                          <a:gdLst>
                            <a:gd name="T0" fmla="*/ 0 w 11758"/>
                            <a:gd name="T1" fmla="*/ 359 h 887"/>
                            <a:gd name="T2" fmla="*/ 388 w 11758"/>
                            <a:gd name="T3" fmla="*/ 497 h 887"/>
                            <a:gd name="T4" fmla="*/ 876 w 11758"/>
                            <a:gd name="T5" fmla="*/ 610 h 887"/>
                            <a:gd name="T6" fmla="*/ 1402 w 11758"/>
                            <a:gd name="T7" fmla="*/ 722 h 887"/>
                            <a:gd name="T8" fmla="*/ 2103 w 11758"/>
                            <a:gd name="T9" fmla="*/ 797 h 887"/>
                            <a:gd name="T10" fmla="*/ 3255 w 11758"/>
                            <a:gd name="T11" fmla="*/ 885 h 887"/>
                            <a:gd name="T12" fmla="*/ 4583 w 11758"/>
                            <a:gd name="T13" fmla="*/ 810 h 887"/>
                            <a:gd name="T14" fmla="*/ 5647 w 11758"/>
                            <a:gd name="T15" fmla="*/ 585 h 887"/>
                            <a:gd name="T16" fmla="*/ 6336 w 11758"/>
                            <a:gd name="T17" fmla="*/ 347 h 887"/>
                            <a:gd name="T18" fmla="*/ 7125 w 11758"/>
                            <a:gd name="T19" fmla="*/ 146 h 887"/>
                            <a:gd name="T20" fmla="*/ 7788 w 11758"/>
                            <a:gd name="T21" fmla="*/ 21 h 887"/>
                            <a:gd name="T22" fmla="*/ 9353 w 11758"/>
                            <a:gd name="T23" fmla="*/ 21 h 887"/>
                            <a:gd name="T24" fmla="*/ 10055 w 11758"/>
                            <a:gd name="T25" fmla="*/ 146 h 887"/>
                            <a:gd name="T26" fmla="*/ 10681 w 11758"/>
                            <a:gd name="T27" fmla="*/ 272 h 887"/>
                            <a:gd name="T28" fmla="*/ 11507 w 11758"/>
                            <a:gd name="T29" fmla="*/ 359 h 887"/>
                            <a:gd name="T30" fmla="*/ 11758 w 11758"/>
                            <a:gd name="T31" fmla="*/ 309 h 8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1758" h="887">
                              <a:moveTo>
                                <a:pt x="0" y="359"/>
                              </a:moveTo>
                              <a:cubicBezTo>
                                <a:pt x="121" y="407"/>
                                <a:pt x="242" y="455"/>
                                <a:pt x="388" y="497"/>
                              </a:cubicBezTo>
                              <a:cubicBezTo>
                                <a:pt x="534" y="539"/>
                                <a:pt x="707" y="573"/>
                                <a:pt x="876" y="610"/>
                              </a:cubicBezTo>
                              <a:cubicBezTo>
                                <a:pt x="1045" y="647"/>
                                <a:pt x="1198" y="691"/>
                                <a:pt x="1402" y="722"/>
                              </a:cubicBezTo>
                              <a:cubicBezTo>
                                <a:pt x="1606" y="753"/>
                                <a:pt x="1794" y="770"/>
                                <a:pt x="2103" y="797"/>
                              </a:cubicBezTo>
                              <a:cubicBezTo>
                                <a:pt x="2412" y="824"/>
                                <a:pt x="2842" y="883"/>
                                <a:pt x="3255" y="885"/>
                              </a:cubicBezTo>
                              <a:cubicBezTo>
                                <a:pt x="3668" y="887"/>
                                <a:pt x="4184" y="860"/>
                                <a:pt x="4583" y="810"/>
                              </a:cubicBezTo>
                              <a:cubicBezTo>
                                <a:pt x="4982" y="760"/>
                                <a:pt x="5355" y="662"/>
                                <a:pt x="5647" y="585"/>
                              </a:cubicBezTo>
                              <a:cubicBezTo>
                                <a:pt x="5939" y="508"/>
                                <a:pt x="6090" y="420"/>
                                <a:pt x="6336" y="347"/>
                              </a:cubicBezTo>
                              <a:cubicBezTo>
                                <a:pt x="6582" y="274"/>
                                <a:pt x="6883" y="200"/>
                                <a:pt x="7125" y="146"/>
                              </a:cubicBezTo>
                              <a:cubicBezTo>
                                <a:pt x="7367" y="92"/>
                                <a:pt x="7417" y="42"/>
                                <a:pt x="7788" y="21"/>
                              </a:cubicBezTo>
                              <a:cubicBezTo>
                                <a:pt x="8159" y="0"/>
                                <a:pt x="8975" y="0"/>
                                <a:pt x="9353" y="21"/>
                              </a:cubicBezTo>
                              <a:cubicBezTo>
                                <a:pt x="9731" y="42"/>
                                <a:pt x="9834" y="104"/>
                                <a:pt x="10055" y="146"/>
                              </a:cubicBezTo>
                              <a:cubicBezTo>
                                <a:pt x="10276" y="188"/>
                                <a:pt x="10439" y="237"/>
                                <a:pt x="10681" y="272"/>
                              </a:cubicBezTo>
                              <a:cubicBezTo>
                                <a:pt x="10923" y="307"/>
                                <a:pt x="11328" y="353"/>
                                <a:pt x="11507" y="359"/>
                              </a:cubicBezTo>
                              <a:cubicBezTo>
                                <a:pt x="11686" y="365"/>
                                <a:pt x="11716" y="317"/>
                                <a:pt x="11758" y="309"/>
                              </a:cubicBezTo>
                            </a:path>
                          </a:pathLst>
                        </a:custGeom>
                        <a:solidFill>
                          <a:srgbClr val="FF0000"/>
                        </a:solidFill>
                        <a:ln>
                          <a:noFill/>
                        </a:ln>
                        <a:effec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5FFEE2" id="Forme libre 6" o:spid="_x0000_s1026" style="position:absolute;margin-left:-71pt;margin-top:20.05pt;width:590.9pt;height:15.8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1758,8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jb0ZgUAADgSAAAOAAAAZHJzL2Uyb0RvYy54bWysWNtu4zYQfS/QfyD0WKCxSF1IGXEW7S5S&#10;FNi2C2zad1qWbKGyqFJynOzX7wxJO1TWTOWifhAkcjy3wxke8vbd074lj5UeGtWtInoTR6TqSrVp&#10;uu0q+vPh/kcRkWGU3Ua2qqtW0XM1RO/uvv/u9tgvK6Z2qt1UmoCSblge+1W0G8d+uVgM5a7ay+FG&#10;9VUHk7XSeznCp94uNloeQfu+XbA4zhdHpTe9VmU1DDD6wU5Gd0Z/XVfl+EddD9VI2lUEvo3mqc1z&#10;jc/F3a1cbrXsd03p3JD/wYu9bDowelb1QY6SHHTzjap9U2o1qHq8KdV+oeq6KSsTA0RD41fRfN7J&#10;vjKxQHKG/pym4f9TW/7++EmTZrOK8oh0cg8Q3UOyK9I2a12RHBN07IclyH3uP2kMceg/qvLvASYW&#10;kxn8GECGrI+/qQ0okodRmaQ81XpP6rbp/4IlYkYgcPJkUHg+o1A9jaSEQZ7FaZoAWCXMQVZYkaEX&#10;C7lEPehBeRjGXypl3uXjx2G0KG7gzWCwcZE8gJJ63wKgPyxITI6EUp4Jh/lZiHpCSVaQHRGCvxZi&#10;vpAQIV2JJ5YW/LKu1BMSPA/pyjyxnMaXdQFq5whpGrOQMu7JccYuK4NaPStjNE5CygpPjoeipH7y&#10;E5ZlIW3UB0CI7LJv1EcgzUTQOepjIEJ5oz4IWZ7yoHc+DFnQOx+HPEmCoFIfiATMXlxt1EeCUxbO&#10;nQ8FTfPL6pgPBefh5ct8KBgNaPORKJIsiATzkQhq84GgcRxeJ8xHIhyrjwSNc0FDyDIfCsYDNcF8&#10;KCjN4uBKYT4WwUaCje1cZKYfhfxLfDCS2GtM0Aq3p2Ynd6f+Vz51rgHCG5G4Acem2fZqwGaL3RA6&#10;6gN13RSkTDO9LAwgo3AySxgwROFTn35bMwCEwqbFQiRvC0P2UbiY5Qa2HJSGjmI3jLd1Y0sx4vOC&#10;xJZhxOeFSV2cUPGznHGR0nmhYkmjM1Cxc7QzFyqU5CxxFyqU3CxxFypU1CxxFyoUzBxxrBgMFerB&#10;E7crxy14DTzvNcPTEQGGt8b/yGUvR6yT0ys5AhExXIDsVhFu9zizV4/VgzIy4ws7gUp2dl/my8O6&#10;KX+uvvjSFJsn+JnGjjz0RglLberTzOQSXDHDibBJAJJwimqi85KFLLGwZInx6KSKg0E0nHED7mkY&#10;mIUZBuow2wKNU2iyoAs2RJc44y2lhXU3LwwIJxvIOIw8UIr5RvLYesazicOUFzY+zh0vdxkEJmKN&#10;XJErlrrqFiz1I2HC4SHExDgSFGMECMjsSJI8t2k5E0brcUqFjUTkk0iQtlgjV2CSFsLleKosS5zH&#10;eW5yf8IEyYwxAmRldiRZAWvKLKLY8WMbSR4XtvpSaDi2ksyCQIpj5IHCzDaSZy4SxieY5IgFGocD&#10;nW8EiY8Zh81+thGe5Db8YpIVniLzwvKcDgMZsqbPzeVfy1BQ6AioauKsKLh1djKK9Oha/QXHnf8b&#10;Vwvhyh+K1M+S4UxG/po00Zi5/kAhAx6yoN0tBZZMewByKRsLv6LY4wJpIESTTPsipQlSK5x41QaQ&#10;Y7mJU+eddsPpl12olObCrch80mihzbudOIEV4Adq+7/x7JId2GBw1zAHz/P2gbuOd/gcVNts7pu2&#10;xU1j0Nv1+1aTRwl3Dff3Mfzcqp2ItYZ1dQr/Bu6ARjtSmdsKS+bMwRrP0vbwvVabZzhXa2WvL+C6&#10;BV52Sn+JyBGuLlbR8M9B6ioi7a8d3A0UNE2hakfzkWYcuYL2Z9b+jOxKULWKxgg4I76+H+39yKHX&#10;zXYHluyRvVM/wXm+bvCwbfyzXrkPuJ4wsbirFLz/8L+N1MuFz91XAAAA//8DAFBLAwQUAAYACAAA&#10;ACEAcoh/jt4AAAALAQAADwAAAGRycy9kb3ducmV2LnhtbEyPQU7DMBBF90jcwRokdq3tUNE2jVNV&#10;VByAgICla0+TqPE4ip003B53BcvRfP3/XrGfXccmHELrSYFcCmBIxtuWagUf76+LDbAQNVndeUIF&#10;PxhgX97fFTq3/kpvOFWxZqmEQq4VNDH2OefBNOh0WPoeKf3OfnA6pnOouR30NZW7jmdCPHOnW0oL&#10;je7xpUFzqUanwNRfRyO+5yxbV598exzP8mAmpR4f5sMOWMQ5/oXhhp/QoUxMJz+SDaxTsJCrLMlE&#10;BSshgd0S4mmbbE4K1nIDvCz4f4fyFwAA//8DAFBLAQItABQABgAIAAAAIQC2gziS/gAAAOEBAAAT&#10;AAAAAAAAAAAAAAAAAAAAAABbQ29udGVudF9UeXBlc10ueG1sUEsBAi0AFAAGAAgAAAAhADj9If/W&#10;AAAAlAEAAAsAAAAAAAAAAAAAAAAALwEAAF9yZWxzLy5yZWxzUEsBAi0AFAAGAAgAAAAhAG1ONvRm&#10;BQAAOBIAAA4AAAAAAAAAAAAAAAAALgIAAGRycy9lMm9Eb2MueG1sUEsBAi0AFAAGAAgAAAAhAHKI&#10;f47eAAAACwEAAA8AAAAAAAAAAAAAAAAAwAcAAGRycy9kb3ducmV2LnhtbFBLBQYAAAAABAAEAPMA&#10;AADLCAAAAAA=&#10;" path="m,359v121,48,242,96,388,138c534,539,707,573,876,610v169,37,322,81,526,112c1606,753,1794,770,2103,797v309,27,739,86,1152,88c3668,887,4184,860,4583,810,4982,760,5355,662,5647,585v292,-77,443,-165,689,-238c6582,274,6883,200,7125,146,7367,92,7417,42,7788,21,8159,,8975,,9353,21v378,21,481,83,702,125c10276,188,10439,237,10681,272v242,35,647,81,826,87c11686,365,11716,317,11758,309e" fillcolor="red" stroked="f">
                <v:path arrowok="t" o:connecttype="custom" o:connectlocs="0,81471;247637,112789;559099,138433;894813,163850;1342219,180870;2077472,200841;2925056,183821;3604143,132759;4043891,78748;4547462,33133;4970616,4766;5969462,4766;6417507,33133;6817045,61727;7344232,81471;7504430,70124" o:connectangles="0,0,0,0,0,0,0,0,0,0,0,0,0,0,0,0"/>
              </v:shape>
            </w:pict>
          </mc:Fallback>
        </mc:AlternateContent>
      </w:r>
    </w:p>
    <w:bookmarkEnd w:id="0"/>
    <w:p w:rsidR="00424709" w:rsidRPr="001707C0" w:rsidRDefault="00424709" w:rsidP="00424709">
      <w:pPr>
        <w:spacing w:after="0" w:line="240" w:lineRule="auto"/>
        <w:rPr>
          <w:rFonts w:ascii="Garamond" w:hAnsi="Garamond"/>
          <w:b/>
          <w:bCs/>
          <w:color w:val="FF0000"/>
          <w:sz w:val="20"/>
          <w:szCs w:val="20"/>
          <w:lang w:val="en-GB"/>
        </w:rPr>
      </w:pPr>
      <w:r w:rsidRPr="001707C0">
        <w:rPr>
          <w:rFonts w:ascii="Garamond" w:hAnsi="Garamond"/>
          <w:b/>
          <w:bCs/>
          <w:color w:val="FF0000"/>
          <w:sz w:val="20"/>
          <w:szCs w:val="20"/>
          <w:lang w:val="en-GB"/>
        </w:rPr>
        <w:br w:type="page"/>
      </w:r>
    </w:p>
    <w:p w:rsidR="00424709" w:rsidRPr="001707C0" w:rsidRDefault="00424709" w:rsidP="00424709">
      <w:pPr>
        <w:keepNext/>
        <w:widowControl w:val="0"/>
        <w:shd w:val="clear" w:color="auto" w:fill="FFFFFF"/>
        <w:autoSpaceDE w:val="0"/>
        <w:autoSpaceDN w:val="0"/>
        <w:adjustRightInd w:val="0"/>
        <w:spacing w:after="120" w:line="360" w:lineRule="auto"/>
        <w:jc w:val="both"/>
        <w:outlineLvl w:val="1"/>
        <w:rPr>
          <w:rFonts w:ascii="Garamond" w:hAnsi="Garamond"/>
          <w:b/>
          <w:bCs/>
          <w:color w:val="FF0000"/>
          <w:sz w:val="20"/>
          <w:szCs w:val="20"/>
          <w:lang w:val="en-GB"/>
        </w:rPr>
        <w:sectPr w:rsidR="00424709" w:rsidRPr="001707C0" w:rsidSect="006442D5">
          <w:type w:val="continuous"/>
          <w:pgSz w:w="11906" w:h="16838"/>
          <w:pgMar w:top="1440" w:right="1440" w:bottom="1440" w:left="1440" w:header="708" w:footer="708" w:gutter="0"/>
          <w:cols w:space="708"/>
        </w:sectPr>
      </w:pPr>
    </w:p>
    <w:p w:rsidR="00424709" w:rsidRPr="00BC7E94" w:rsidRDefault="00424709" w:rsidP="00424709">
      <w:pPr>
        <w:keepNext/>
        <w:widowControl w:val="0"/>
        <w:shd w:val="clear" w:color="auto" w:fill="FFFFFF"/>
        <w:autoSpaceDE w:val="0"/>
        <w:autoSpaceDN w:val="0"/>
        <w:adjustRightInd w:val="0"/>
        <w:spacing w:after="120" w:line="360" w:lineRule="auto"/>
        <w:jc w:val="both"/>
        <w:outlineLvl w:val="1"/>
        <w:rPr>
          <w:rStyle w:val="Emphaseple"/>
          <w:rFonts w:ascii="Garamond" w:hAnsi="Garamond" w:cs="Calibri"/>
          <w:color w:val="5B9BD5" w:themeColor="accent1"/>
          <w:sz w:val="24"/>
          <w:szCs w:val="24"/>
          <w:lang w:val="en-US"/>
        </w:rPr>
      </w:pPr>
      <w:r w:rsidRPr="00BC7E94">
        <w:rPr>
          <w:rFonts w:ascii="Garamond" w:eastAsia="Times New Roman" w:hAnsi="Garamond" w:cs="Calibri"/>
          <w:b/>
          <w:bCs/>
          <w:color w:val="5B9BD5" w:themeColor="accent1"/>
          <w:sz w:val="24"/>
          <w:szCs w:val="24"/>
          <w:lang w:val="en-US" w:eastAsia="fr-FR"/>
        </w:rPr>
        <w:lastRenderedPageBreak/>
        <w:t>I. INTRODUCTION</w:t>
      </w:r>
    </w:p>
    <w:p w:rsidR="00674B4F" w:rsidRPr="00BC7E94" w:rsidRDefault="00674B4F" w:rsidP="00674B4F">
      <w:pPr>
        <w:spacing w:after="120" w:line="360" w:lineRule="auto"/>
        <w:jc w:val="both"/>
        <w:rPr>
          <w:rFonts w:ascii="Garamond" w:hAnsi="Garamond" w:cs="Calibri"/>
          <w:color w:val="000000" w:themeColor="text1"/>
          <w:sz w:val="24"/>
          <w:szCs w:val="24"/>
          <w:lang w:val="en-US"/>
        </w:rPr>
      </w:pPr>
      <w:r w:rsidRPr="00BC7E94">
        <w:rPr>
          <w:rFonts w:ascii="Garamond" w:hAnsi="Garamond" w:cs="Calibri"/>
          <w:color w:val="000000" w:themeColor="text1"/>
          <w:sz w:val="24"/>
          <w:szCs w:val="24"/>
          <w:lang w:val="en-US"/>
        </w:rPr>
        <w:t>The main economic indicators below relate to the developments at the end of May 2023, in the real sector and prices, public finance, foreign trade, the exchange rate, broad money and its counterparts and the main financial soundness indicators.</w:t>
      </w:r>
    </w:p>
    <w:p w:rsidR="00674B4F" w:rsidRPr="00BC7E94" w:rsidRDefault="00674B4F" w:rsidP="00674B4F">
      <w:pPr>
        <w:spacing w:after="120" w:line="360" w:lineRule="auto"/>
        <w:jc w:val="both"/>
        <w:rPr>
          <w:rFonts w:ascii="Garamond" w:hAnsi="Garamond" w:cs="Calibri"/>
          <w:color w:val="000000" w:themeColor="text1"/>
          <w:sz w:val="24"/>
          <w:szCs w:val="24"/>
          <w:lang w:val="en-US"/>
        </w:rPr>
      </w:pPr>
      <w:r w:rsidRPr="00BC7E94">
        <w:rPr>
          <w:rFonts w:ascii="Garamond" w:hAnsi="Garamond" w:cs="Calibri"/>
          <w:color w:val="000000" w:themeColor="text1"/>
          <w:sz w:val="24"/>
          <w:szCs w:val="24"/>
          <w:lang w:val="en-US"/>
        </w:rPr>
        <w:t xml:space="preserve">Year-on-year, the real sector was marked in May </w:t>
      </w:r>
      <w:r w:rsidR="001707C0" w:rsidRPr="00BC7E94">
        <w:rPr>
          <w:rFonts w:ascii="Garamond" w:hAnsi="Garamond" w:cs="Calibri"/>
          <w:color w:val="000000" w:themeColor="text1"/>
          <w:sz w:val="24"/>
          <w:szCs w:val="24"/>
          <w:lang w:val="en-US"/>
        </w:rPr>
        <w:t xml:space="preserve">2023 </w:t>
      </w:r>
      <w:r w:rsidRPr="00BC7E94">
        <w:rPr>
          <w:rFonts w:ascii="Garamond" w:hAnsi="Garamond" w:cs="Calibri"/>
          <w:color w:val="000000" w:themeColor="text1"/>
          <w:sz w:val="24"/>
          <w:szCs w:val="24"/>
          <w:lang w:val="en-US"/>
        </w:rPr>
        <w:t>by a growth in industrial production and green leaf tea as well as the absence of parchment coffee production.</w:t>
      </w:r>
    </w:p>
    <w:p w:rsidR="00671D84" w:rsidRPr="00BC7E94" w:rsidRDefault="00674B4F" w:rsidP="00674B4F">
      <w:pPr>
        <w:spacing w:after="120" w:line="360" w:lineRule="auto"/>
        <w:jc w:val="both"/>
        <w:rPr>
          <w:rFonts w:ascii="Garamond" w:hAnsi="Garamond" w:cs="Calibri"/>
          <w:color w:val="000000" w:themeColor="text1"/>
          <w:sz w:val="24"/>
          <w:szCs w:val="24"/>
          <w:lang w:val="en-US"/>
        </w:rPr>
      </w:pPr>
      <w:r w:rsidRPr="00BC7E94">
        <w:rPr>
          <w:rFonts w:ascii="Garamond" w:hAnsi="Garamond" w:cs="Calibri"/>
          <w:color w:val="000000" w:themeColor="text1"/>
          <w:sz w:val="24"/>
          <w:szCs w:val="24"/>
          <w:lang w:val="en-US"/>
        </w:rPr>
        <w:t xml:space="preserve"> Inflation has increased in May 2023 comp</w:t>
      </w:r>
      <w:r w:rsidR="00A47A8F" w:rsidRPr="00BC7E94">
        <w:rPr>
          <w:rFonts w:ascii="Garamond" w:hAnsi="Garamond" w:cs="Calibri"/>
          <w:color w:val="000000" w:themeColor="text1"/>
          <w:sz w:val="24"/>
          <w:szCs w:val="24"/>
          <w:lang w:val="en-US"/>
        </w:rPr>
        <w:t>ared to the same period of 2022 and c</w:t>
      </w:r>
      <w:r w:rsidR="00671D84" w:rsidRPr="00BC7E94">
        <w:rPr>
          <w:rFonts w:ascii="Garamond" w:hAnsi="Garamond" w:cs="Calibri"/>
          <w:color w:val="000000" w:themeColor="text1"/>
          <w:sz w:val="24"/>
          <w:szCs w:val="24"/>
          <w:lang w:val="en-US"/>
        </w:rPr>
        <w:t>ompared to the same period of the previous year, t</w:t>
      </w:r>
      <w:r w:rsidRPr="00BC7E94">
        <w:rPr>
          <w:rFonts w:ascii="Garamond" w:hAnsi="Garamond" w:cs="Calibri"/>
          <w:color w:val="000000" w:themeColor="text1"/>
          <w:sz w:val="24"/>
          <w:szCs w:val="24"/>
          <w:lang w:val="en-US"/>
        </w:rPr>
        <w:t>he trade balance deficit has worsened</w:t>
      </w:r>
      <w:r w:rsidR="00671D84" w:rsidRPr="00BC7E94">
        <w:rPr>
          <w:rFonts w:ascii="Garamond" w:hAnsi="Garamond" w:cs="Calibri"/>
          <w:color w:val="000000" w:themeColor="text1"/>
          <w:sz w:val="24"/>
          <w:szCs w:val="24"/>
          <w:lang w:val="en-US"/>
        </w:rPr>
        <w:t xml:space="preserve"> at the end of May</w:t>
      </w:r>
      <w:r w:rsidRPr="00BC7E94">
        <w:rPr>
          <w:rFonts w:ascii="Garamond" w:hAnsi="Garamond" w:cs="Calibri"/>
          <w:color w:val="000000" w:themeColor="text1"/>
          <w:sz w:val="24"/>
          <w:szCs w:val="24"/>
          <w:lang w:val="en-US"/>
        </w:rPr>
        <w:t xml:space="preserve">. </w:t>
      </w:r>
    </w:p>
    <w:p w:rsidR="00674B4F" w:rsidRPr="00BC7E94" w:rsidRDefault="00674B4F" w:rsidP="00674B4F">
      <w:pPr>
        <w:spacing w:after="120" w:line="360" w:lineRule="auto"/>
        <w:jc w:val="both"/>
        <w:rPr>
          <w:rFonts w:ascii="Garamond" w:hAnsi="Garamond" w:cs="Calibri"/>
          <w:color w:val="000000" w:themeColor="text1"/>
          <w:sz w:val="24"/>
          <w:szCs w:val="24"/>
          <w:lang w:val="en-US"/>
        </w:rPr>
      </w:pPr>
      <w:r w:rsidRPr="00BC7E94">
        <w:rPr>
          <w:rFonts w:ascii="Garamond" w:hAnsi="Garamond" w:cs="Calibri"/>
          <w:color w:val="000000" w:themeColor="text1"/>
          <w:sz w:val="24"/>
          <w:szCs w:val="24"/>
          <w:lang w:val="en-US"/>
        </w:rPr>
        <w:t xml:space="preserve"> The overall public finance deficit (excluding grants) decreased compared to the end of May 2022.</w:t>
      </w:r>
      <w:r w:rsidR="00671D84" w:rsidRPr="00BC7E94">
        <w:rPr>
          <w:rFonts w:ascii="Garamond" w:hAnsi="Garamond" w:cs="Calibri"/>
          <w:color w:val="000000" w:themeColor="text1"/>
          <w:sz w:val="24"/>
          <w:szCs w:val="24"/>
          <w:lang w:val="en-US"/>
        </w:rPr>
        <w:t xml:space="preserve"> The Burundi Franc has depreciated against the US Dollar.</w:t>
      </w:r>
    </w:p>
    <w:p w:rsidR="00671D84" w:rsidRPr="00BC7E94" w:rsidRDefault="00671D84" w:rsidP="00674B4F">
      <w:pPr>
        <w:spacing w:after="120" w:line="360" w:lineRule="auto"/>
        <w:jc w:val="both"/>
        <w:rPr>
          <w:rFonts w:ascii="Garamond" w:hAnsi="Garamond" w:cs="Calibri"/>
          <w:color w:val="000000" w:themeColor="text1"/>
          <w:sz w:val="24"/>
          <w:szCs w:val="24"/>
          <w:lang w:val="en-US"/>
        </w:rPr>
      </w:pPr>
      <w:r w:rsidRPr="00BC7E94">
        <w:rPr>
          <w:rFonts w:ascii="Garamond" w:hAnsi="Garamond" w:cs="Calibri"/>
          <w:color w:val="000000" w:themeColor="text1"/>
          <w:sz w:val="24"/>
          <w:szCs w:val="24"/>
          <w:lang w:val="en-US"/>
        </w:rPr>
        <w:t>The reserve mone</w:t>
      </w:r>
      <w:r w:rsidR="00674B4F" w:rsidRPr="00BC7E94">
        <w:rPr>
          <w:rFonts w:ascii="Garamond" w:hAnsi="Garamond" w:cs="Calibri"/>
          <w:color w:val="000000" w:themeColor="text1"/>
          <w:sz w:val="24"/>
          <w:szCs w:val="24"/>
          <w:lang w:val="en-US"/>
        </w:rPr>
        <w:t xml:space="preserve">y </w:t>
      </w:r>
      <w:r w:rsidRPr="00BC7E94">
        <w:rPr>
          <w:rFonts w:ascii="Garamond" w:hAnsi="Garamond" w:cs="Calibri"/>
          <w:color w:val="000000" w:themeColor="text1"/>
          <w:sz w:val="24"/>
          <w:szCs w:val="24"/>
          <w:lang w:val="en-US"/>
        </w:rPr>
        <w:t xml:space="preserve">base and money supply grew in May 2023 </w:t>
      </w:r>
    </w:p>
    <w:p w:rsidR="00671D84" w:rsidRDefault="001707C0" w:rsidP="00671D84">
      <w:pPr>
        <w:spacing w:after="120" w:line="360" w:lineRule="auto"/>
        <w:jc w:val="both"/>
        <w:rPr>
          <w:rFonts w:ascii="Garamond" w:hAnsi="Garamond" w:cs="Calibri"/>
          <w:color w:val="000000" w:themeColor="text1"/>
          <w:sz w:val="24"/>
          <w:szCs w:val="24"/>
          <w:lang w:val="en-US"/>
        </w:rPr>
      </w:pPr>
      <w:r w:rsidRPr="00BC7E94">
        <w:rPr>
          <w:rFonts w:ascii="Garamond" w:hAnsi="Garamond" w:cs="Calibri"/>
          <w:color w:val="000000" w:themeColor="text1"/>
          <w:sz w:val="24"/>
          <w:szCs w:val="24"/>
          <w:lang w:val="en-US"/>
        </w:rPr>
        <w:t xml:space="preserve"> The aggregate balance sheet b</w:t>
      </w:r>
      <w:r w:rsidR="00674B4F" w:rsidRPr="00BC7E94">
        <w:rPr>
          <w:rFonts w:ascii="Garamond" w:hAnsi="Garamond" w:cs="Calibri"/>
          <w:color w:val="000000" w:themeColor="text1"/>
          <w:sz w:val="24"/>
          <w:szCs w:val="24"/>
          <w:lang w:val="en-US"/>
        </w:rPr>
        <w:t>anking sector activity has improved.</w:t>
      </w:r>
      <w:r w:rsidRPr="00BC7E94">
        <w:rPr>
          <w:rFonts w:ascii="Garamond" w:hAnsi="Garamond" w:cs="Calibri"/>
          <w:color w:val="000000" w:themeColor="text1"/>
          <w:sz w:val="24"/>
          <w:szCs w:val="24"/>
          <w:lang w:val="en-US"/>
        </w:rPr>
        <w:t xml:space="preserve"> In terms of financial sou</w:t>
      </w:r>
      <w:r w:rsidR="00DA0D95" w:rsidRPr="00BC7E94">
        <w:rPr>
          <w:rFonts w:ascii="Garamond" w:hAnsi="Garamond" w:cs="Calibri"/>
          <w:color w:val="000000" w:themeColor="text1"/>
          <w:sz w:val="24"/>
          <w:szCs w:val="24"/>
          <w:lang w:val="en-US"/>
        </w:rPr>
        <w:t>n</w:t>
      </w:r>
      <w:r w:rsidRPr="00BC7E94">
        <w:rPr>
          <w:rFonts w:ascii="Garamond" w:hAnsi="Garamond" w:cs="Calibri"/>
          <w:color w:val="000000" w:themeColor="text1"/>
          <w:sz w:val="24"/>
          <w:szCs w:val="24"/>
          <w:lang w:val="en-US"/>
        </w:rPr>
        <w:t>dness</w:t>
      </w:r>
      <w:r w:rsidR="00674B4F" w:rsidRPr="00BC7E94">
        <w:rPr>
          <w:rFonts w:ascii="Garamond" w:hAnsi="Garamond" w:cs="Calibri"/>
          <w:color w:val="000000" w:themeColor="text1"/>
          <w:sz w:val="24"/>
          <w:szCs w:val="24"/>
          <w:lang w:val="en-US"/>
        </w:rPr>
        <w:t xml:space="preserve">, the banking sector remained sufficiently capitalized. Nevertheless, the solvency and profitability ratios </w:t>
      </w:r>
      <w:r w:rsidRPr="00BC7E94">
        <w:rPr>
          <w:rFonts w:ascii="Garamond" w:hAnsi="Garamond" w:cs="Calibri"/>
          <w:color w:val="000000" w:themeColor="text1"/>
          <w:sz w:val="24"/>
          <w:szCs w:val="24"/>
          <w:lang w:val="en-US"/>
        </w:rPr>
        <w:t>have declined</w:t>
      </w:r>
    </w:p>
    <w:p w:rsidR="00E35EE7" w:rsidRDefault="00E35EE7" w:rsidP="00671D84">
      <w:pPr>
        <w:spacing w:after="120" w:line="360" w:lineRule="auto"/>
        <w:jc w:val="both"/>
        <w:rPr>
          <w:rFonts w:ascii="Garamond" w:hAnsi="Garamond" w:cs="Calibri"/>
          <w:color w:val="000000" w:themeColor="text1"/>
          <w:sz w:val="24"/>
          <w:szCs w:val="24"/>
          <w:lang w:val="en-US"/>
        </w:rPr>
      </w:pPr>
    </w:p>
    <w:p w:rsidR="00E35EE7" w:rsidRDefault="00E35EE7" w:rsidP="00671D84">
      <w:pPr>
        <w:spacing w:after="120" w:line="360" w:lineRule="auto"/>
        <w:jc w:val="both"/>
        <w:rPr>
          <w:rFonts w:ascii="Garamond" w:hAnsi="Garamond" w:cs="Calibri"/>
          <w:color w:val="000000" w:themeColor="text1"/>
          <w:sz w:val="24"/>
          <w:szCs w:val="24"/>
          <w:lang w:val="en-US"/>
        </w:rPr>
      </w:pPr>
    </w:p>
    <w:p w:rsidR="00E35EE7" w:rsidRDefault="00E35EE7" w:rsidP="00671D84">
      <w:pPr>
        <w:spacing w:after="120" w:line="360" w:lineRule="auto"/>
        <w:jc w:val="both"/>
        <w:rPr>
          <w:rFonts w:ascii="Garamond" w:hAnsi="Garamond" w:cs="Calibri"/>
          <w:color w:val="000000" w:themeColor="text1"/>
          <w:sz w:val="24"/>
          <w:szCs w:val="24"/>
          <w:lang w:val="en-US"/>
        </w:rPr>
      </w:pPr>
    </w:p>
    <w:p w:rsidR="00E35EE7" w:rsidRPr="00BC7E94" w:rsidRDefault="00E35EE7" w:rsidP="00671D84">
      <w:pPr>
        <w:spacing w:after="120" w:line="360" w:lineRule="auto"/>
        <w:jc w:val="both"/>
        <w:rPr>
          <w:rFonts w:ascii="Garamond" w:hAnsi="Garamond"/>
          <w:color w:val="FF0000"/>
          <w:sz w:val="24"/>
          <w:szCs w:val="24"/>
          <w:lang w:val="en-US"/>
        </w:rPr>
      </w:pPr>
    </w:p>
    <w:p w:rsidR="00424709" w:rsidRPr="00BC7E94" w:rsidRDefault="00424709" w:rsidP="00424709">
      <w:pPr>
        <w:spacing w:after="120" w:line="360" w:lineRule="auto"/>
        <w:jc w:val="both"/>
        <w:rPr>
          <w:rFonts w:ascii="Garamond" w:eastAsia="Times New Roman" w:hAnsi="Garamond" w:cs="Calibri"/>
          <w:b/>
          <w:bCs/>
          <w:color w:val="5B9BD5" w:themeColor="accent1"/>
          <w:sz w:val="24"/>
          <w:szCs w:val="24"/>
          <w:lang w:val="en-US" w:eastAsia="fr-FR"/>
        </w:rPr>
      </w:pPr>
      <w:r w:rsidRPr="00BC7E94">
        <w:rPr>
          <w:rFonts w:ascii="Garamond" w:eastAsia="Times New Roman" w:hAnsi="Garamond" w:cs="Calibri"/>
          <w:b/>
          <w:bCs/>
          <w:color w:val="5B9BD5" w:themeColor="accent1"/>
          <w:sz w:val="24"/>
          <w:szCs w:val="24"/>
          <w:lang w:val="en-US" w:eastAsia="fr-FR"/>
        </w:rPr>
        <w:t>II. PRODUCTION</w:t>
      </w:r>
    </w:p>
    <w:p w:rsidR="00B80F36" w:rsidRPr="00BC7E94" w:rsidRDefault="00B80F36" w:rsidP="00B80F36">
      <w:pPr>
        <w:spacing w:after="120" w:line="360" w:lineRule="auto"/>
        <w:jc w:val="both"/>
        <w:rPr>
          <w:rFonts w:ascii="Garamond" w:hAnsi="Garamond" w:cs="Calibri"/>
          <w:sz w:val="24"/>
          <w:szCs w:val="24"/>
          <w:lang w:val="en-US"/>
        </w:rPr>
      </w:pPr>
      <w:r w:rsidRPr="00BC7E94">
        <w:rPr>
          <w:rFonts w:ascii="Garamond" w:hAnsi="Garamond" w:cs="Calibri"/>
          <w:sz w:val="24"/>
          <w:szCs w:val="24"/>
          <w:lang w:val="en"/>
        </w:rPr>
        <w:t>Year-on-year basis, the industrial production index and the production of green leaf tea decreased while there was no production of parchment coffee for the 2023/2024 coffee campaign in April 2023.</w:t>
      </w:r>
    </w:p>
    <w:p w:rsidR="00424709" w:rsidRPr="00BC7E94" w:rsidRDefault="00424709" w:rsidP="00F26F94">
      <w:pPr>
        <w:spacing w:after="120" w:line="360" w:lineRule="auto"/>
        <w:jc w:val="both"/>
        <w:rPr>
          <w:rFonts w:ascii="Garamond" w:eastAsia="Times New Roman" w:hAnsi="Garamond" w:cs="Calibri"/>
          <w:b/>
          <w:bCs/>
          <w:color w:val="5B9BD5" w:themeColor="accent1"/>
          <w:sz w:val="24"/>
          <w:szCs w:val="24"/>
          <w:lang w:val="en-US" w:eastAsia="fr-FR"/>
        </w:rPr>
      </w:pPr>
      <w:r w:rsidRPr="00BC7E94">
        <w:rPr>
          <w:rFonts w:ascii="Garamond" w:eastAsia="Times New Roman" w:hAnsi="Garamond" w:cs="Calibri"/>
          <w:b/>
          <w:bCs/>
          <w:color w:val="5B9BD5" w:themeColor="accent1"/>
          <w:sz w:val="24"/>
          <w:szCs w:val="24"/>
          <w:lang w:val="en-US" w:eastAsia="fr-FR"/>
        </w:rPr>
        <w:t xml:space="preserve">II.1 Industrial Production Index </w:t>
      </w:r>
    </w:p>
    <w:p w:rsidR="00551296" w:rsidRPr="00BC7E94" w:rsidRDefault="00551296" w:rsidP="00BC7E94">
      <w:pPr>
        <w:keepNext/>
        <w:widowControl w:val="0"/>
        <w:autoSpaceDE w:val="0"/>
        <w:autoSpaceDN w:val="0"/>
        <w:adjustRightInd w:val="0"/>
        <w:spacing w:after="120" w:line="360" w:lineRule="auto"/>
        <w:jc w:val="both"/>
        <w:outlineLvl w:val="1"/>
        <w:rPr>
          <w:rFonts w:ascii="Garamond" w:hAnsi="Garamond" w:cs="Calibri"/>
          <w:sz w:val="24"/>
          <w:szCs w:val="24"/>
          <w:lang w:val="en-US"/>
        </w:rPr>
      </w:pPr>
      <w:r w:rsidRPr="00BC7E94">
        <w:rPr>
          <w:rFonts w:ascii="Garamond" w:hAnsi="Garamond" w:cs="Calibri"/>
          <w:sz w:val="24"/>
          <w:szCs w:val="24"/>
          <w:lang w:val="en-US"/>
        </w:rPr>
        <w:t>The industrial production index increased by 1.6 percent in May 2023, standing at 164.1 compared to 161.6 in the corresponding month of 2022, mainly due to the increase in BRARUDI beverages production (+4.5 percent), partially offset by the decline in the production of cigarettes (-1.7 percent) and soaps (-17.6 percent).</w:t>
      </w:r>
    </w:p>
    <w:p w:rsidR="00551296" w:rsidRPr="00BC7E94" w:rsidRDefault="00551296" w:rsidP="00BC7E94">
      <w:pPr>
        <w:keepNext/>
        <w:widowControl w:val="0"/>
        <w:autoSpaceDE w:val="0"/>
        <w:autoSpaceDN w:val="0"/>
        <w:adjustRightInd w:val="0"/>
        <w:spacing w:after="120" w:line="360" w:lineRule="auto"/>
        <w:jc w:val="both"/>
        <w:outlineLvl w:val="1"/>
        <w:rPr>
          <w:rFonts w:ascii="Garamond" w:hAnsi="Garamond" w:cs="Calibri"/>
          <w:sz w:val="24"/>
          <w:szCs w:val="24"/>
          <w:lang w:val="en-US"/>
        </w:rPr>
      </w:pPr>
      <w:r w:rsidRPr="00BC7E94">
        <w:rPr>
          <w:rFonts w:ascii="Garamond" w:hAnsi="Garamond" w:cs="Calibri"/>
          <w:sz w:val="24"/>
          <w:szCs w:val="24"/>
          <w:lang w:val="en-US"/>
        </w:rPr>
        <w:t>This index also rose by 24.0 percent compared to the previous month, mainly linked to the increase in the production of BRARUDI drinks (+34.4 percent) and cigarettes (+6.1 percent).</w:t>
      </w:r>
    </w:p>
    <w:p w:rsidR="00424709" w:rsidRPr="00BC7E94" w:rsidRDefault="00424709" w:rsidP="00BC7E94">
      <w:pPr>
        <w:spacing w:after="120" w:line="360" w:lineRule="auto"/>
        <w:jc w:val="both"/>
        <w:rPr>
          <w:rFonts w:ascii="Garamond" w:eastAsia="Times New Roman" w:hAnsi="Garamond" w:cs="Calibri"/>
          <w:b/>
          <w:bCs/>
          <w:color w:val="5B9BD5" w:themeColor="accent1"/>
          <w:sz w:val="24"/>
          <w:szCs w:val="24"/>
          <w:lang w:val="en-US" w:eastAsia="fr-FR"/>
        </w:rPr>
      </w:pPr>
      <w:r w:rsidRPr="00BC7E94">
        <w:rPr>
          <w:rFonts w:ascii="Garamond" w:eastAsia="Times New Roman" w:hAnsi="Garamond" w:cs="Calibri"/>
          <w:b/>
          <w:bCs/>
          <w:color w:val="5B9BD5" w:themeColor="accent1"/>
          <w:sz w:val="24"/>
          <w:szCs w:val="24"/>
          <w:lang w:val="en-US" w:eastAsia="fr-FR"/>
        </w:rPr>
        <w:t>II.2. Coffee</w:t>
      </w:r>
    </w:p>
    <w:p w:rsidR="00D87FE6" w:rsidRPr="00BC7E94" w:rsidRDefault="00D87FE6" w:rsidP="00BC7E94">
      <w:pPr>
        <w:keepNext/>
        <w:widowControl w:val="0"/>
        <w:autoSpaceDE w:val="0"/>
        <w:autoSpaceDN w:val="0"/>
        <w:adjustRightInd w:val="0"/>
        <w:spacing w:after="120" w:line="360" w:lineRule="auto"/>
        <w:jc w:val="both"/>
        <w:outlineLvl w:val="1"/>
        <w:rPr>
          <w:rFonts w:ascii="Garamond" w:hAnsi="Garamond" w:cs="Calibri"/>
          <w:sz w:val="24"/>
          <w:szCs w:val="24"/>
          <w:lang w:val="en-US"/>
        </w:rPr>
      </w:pPr>
      <w:r w:rsidRPr="00BC7E94">
        <w:rPr>
          <w:rFonts w:ascii="Garamond" w:hAnsi="Garamond" w:cs="Calibri"/>
          <w:sz w:val="24"/>
          <w:szCs w:val="24"/>
          <w:lang w:val="en-US"/>
        </w:rPr>
        <w:t>During the month of May 2023, there were no parchment coffee supplies for the 2023/2024 coffee season.</w:t>
      </w:r>
    </w:p>
    <w:p w:rsidR="00424709" w:rsidRPr="00BC7E94" w:rsidRDefault="00424709" w:rsidP="00BC7E94">
      <w:pPr>
        <w:spacing w:before="240" w:after="120" w:line="360" w:lineRule="auto"/>
        <w:jc w:val="both"/>
        <w:rPr>
          <w:rFonts w:ascii="Garamond" w:eastAsia="Times New Roman" w:hAnsi="Garamond" w:cs="Calibri"/>
          <w:b/>
          <w:bCs/>
          <w:color w:val="5B9BD5" w:themeColor="accent1"/>
          <w:sz w:val="24"/>
          <w:szCs w:val="24"/>
          <w:lang w:val="en-US" w:eastAsia="fr-FR"/>
        </w:rPr>
      </w:pPr>
      <w:r w:rsidRPr="00BC7E94">
        <w:rPr>
          <w:rFonts w:ascii="Garamond" w:eastAsia="Times New Roman" w:hAnsi="Garamond" w:cs="Calibri"/>
          <w:b/>
          <w:bCs/>
          <w:color w:val="5B9BD5" w:themeColor="accent1"/>
          <w:sz w:val="24"/>
          <w:szCs w:val="24"/>
          <w:lang w:val="en-US" w:eastAsia="fr-FR"/>
        </w:rPr>
        <w:t>II.3. Tea</w:t>
      </w:r>
    </w:p>
    <w:p w:rsidR="00D87FE6" w:rsidRPr="00BC7E94" w:rsidRDefault="00D87FE6" w:rsidP="00BC7E94">
      <w:pPr>
        <w:spacing w:line="360" w:lineRule="auto"/>
        <w:jc w:val="both"/>
        <w:rPr>
          <w:rFonts w:ascii="Garamond" w:hAnsi="Garamond"/>
          <w:sz w:val="24"/>
          <w:szCs w:val="24"/>
          <w:lang w:val="en-US"/>
        </w:rPr>
      </w:pPr>
      <w:r w:rsidRPr="00BC7E94">
        <w:rPr>
          <w:rFonts w:ascii="Garamond" w:hAnsi="Garamond"/>
          <w:sz w:val="24"/>
          <w:szCs w:val="24"/>
          <w:lang w:val="en-US"/>
        </w:rPr>
        <w:t xml:space="preserve">Year-on-year, green leaf tea production rose by 12.4 percent in May 2023, to 5,731.2 tonnes compared with 5,101.0 tonnes in the same period of 2022, as a result of good rainfall. On the other hand, cumulative production fell slightly (-1.9 percent) at the end of May 2023, to 27,332.6 tonnes </w:t>
      </w:r>
      <w:r w:rsidRPr="00BC7E94">
        <w:rPr>
          <w:rFonts w:ascii="Garamond" w:hAnsi="Garamond"/>
          <w:sz w:val="24"/>
          <w:szCs w:val="24"/>
          <w:lang w:val="en-US"/>
        </w:rPr>
        <w:lastRenderedPageBreak/>
        <w:t>compared with 27,853.0 tonnes for the same period in 2022.</w:t>
      </w:r>
    </w:p>
    <w:p w:rsidR="00424709" w:rsidRPr="00BC7E94" w:rsidRDefault="00424709" w:rsidP="00424709">
      <w:pPr>
        <w:keepNext/>
        <w:widowControl w:val="0"/>
        <w:shd w:val="clear" w:color="auto" w:fill="FFFFFF"/>
        <w:autoSpaceDE w:val="0"/>
        <w:autoSpaceDN w:val="0"/>
        <w:adjustRightInd w:val="0"/>
        <w:spacing w:after="120" w:line="360" w:lineRule="auto"/>
        <w:jc w:val="both"/>
        <w:outlineLvl w:val="1"/>
        <w:rPr>
          <w:rFonts w:ascii="Garamond" w:eastAsia="Times New Roman" w:hAnsi="Garamond" w:cs="Calibri"/>
          <w:b/>
          <w:bCs/>
          <w:color w:val="FF0000"/>
          <w:sz w:val="24"/>
          <w:szCs w:val="24"/>
          <w:lang w:val="en-US" w:eastAsia="fr-FR"/>
        </w:rPr>
      </w:pPr>
      <w:r w:rsidRPr="00BC7E94">
        <w:rPr>
          <w:rFonts w:ascii="Garamond" w:eastAsia="Times New Roman" w:hAnsi="Garamond" w:cs="Calibri"/>
          <w:b/>
          <w:bCs/>
          <w:color w:val="5B9BD5" w:themeColor="accent1"/>
          <w:sz w:val="24"/>
          <w:szCs w:val="24"/>
          <w:lang w:val="en-US" w:eastAsia="fr-FR"/>
        </w:rPr>
        <w:t xml:space="preserve">III. INFLATION DEVELOPMENTS </w:t>
      </w:r>
    </w:p>
    <w:p w:rsidR="0067771E" w:rsidRPr="00BC7E94" w:rsidRDefault="0067771E" w:rsidP="0067771E">
      <w:pPr>
        <w:spacing w:after="160" w:line="259" w:lineRule="auto"/>
        <w:jc w:val="both"/>
        <w:rPr>
          <w:rFonts w:ascii="Garamond" w:hAnsi="Garamond"/>
          <w:sz w:val="24"/>
          <w:szCs w:val="24"/>
          <w:lang w:val="en-US" w:eastAsia="fr-FR"/>
        </w:rPr>
      </w:pPr>
      <w:r w:rsidRPr="00BC7E94">
        <w:rPr>
          <w:rFonts w:ascii="Garamond" w:hAnsi="Garamond"/>
          <w:sz w:val="24"/>
          <w:szCs w:val="24"/>
          <w:lang w:val="en-US" w:eastAsia="fr-FR"/>
        </w:rPr>
        <w:t xml:space="preserve">Year-on-year basis, headline inflation accelerated to 28.9 </w:t>
      </w:r>
      <w:r w:rsidRPr="00BC7E94">
        <w:rPr>
          <w:rFonts w:ascii="Garamond" w:hAnsi="Garamond"/>
          <w:sz w:val="24"/>
          <w:szCs w:val="24"/>
          <w:lang w:val="en-US"/>
        </w:rPr>
        <w:t>percent</w:t>
      </w:r>
      <w:r w:rsidRPr="00BC7E94">
        <w:rPr>
          <w:rFonts w:ascii="Garamond" w:hAnsi="Garamond"/>
          <w:sz w:val="24"/>
          <w:szCs w:val="24"/>
          <w:lang w:val="en-US" w:eastAsia="fr-FR"/>
        </w:rPr>
        <w:t xml:space="preserve"> in May 2023, compared to 18.6 </w:t>
      </w:r>
      <w:r w:rsidRPr="00BC7E94">
        <w:rPr>
          <w:rFonts w:ascii="Garamond" w:hAnsi="Garamond"/>
          <w:sz w:val="24"/>
          <w:szCs w:val="24"/>
          <w:lang w:val="en-US"/>
        </w:rPr>
        <w:t>percent</w:t>
      </w:r>
      <w:r w:rsidRPr="00BC7E94">
        <w:rPr>
          <w:rFonts w:ascii="Garamond" w:hAnsi="Garamond"/>
          <w:sz w:val="24"/>
          <w:szCs w:val="24"/>
          <w:lang w:val="en-US" w:eastAsia="fr-FR"/>
        </w:rPr>
        <w:t xml:space="preserve"> in the same period of the previous year. This acceleration of inflation concerned food inflation (+43.1 </w:t>
      </w:r>
      <w:r w:rsidRPr="00BC7E94">
        <w:rPr>
          <w:rFonts w:ascii="Garamond" w:hAnsi="Garamond"/>
          <w:sz w:val="24"/>
          <w:szCs w:val="24"/>
          <w:lang w:val="en-US"/>
        </w:rPr>
        <w:t>against</w:t>
      </w:r>
      <w:r w:rsidRPr="00BC7E94">
        <w:rPr>
          <w:rFonts w:ascii="Garamond" w:hAnsi="Garamond"/>
          <w:sz w:val="24"/>
          <w:szCs w:val="24"/>
          <w:lang w:val="en-US" w:eastAsia="fr-FR"/>
        </w:rPr>
        <w:t xml:space="preserve">+23.1 </w:t>
      </w:r>
      <w:r w:rsidRPr="00BC7E94">
        <w:rPr>
          <w:rFonts w:ascii="Garamond" w:hAnsi="Garamond"/>
          <w:sz w:val="24"/>
          <w:szCs w:val="24"/>
          <w:lang w:val="en-US"/>
        </w:rPr>
        <w:t>percent</w:t>
      </w:r>
      <w:r w:rsidRPr="00BC7E94">
        <w:rPr>
          <w:rFonts w:ascii="Garamond" w:hAnsi="Garamond"/>
          <w:sz w:val="24"/>
          <w:szCs w:val="24"/>
          <w:lang w:val="en-US" w:eastAsia="fr-FR"/>
        </w:rPr>
        <w:t xml:space="preserve">) whereas non-food inflation decelerated slightly (+11.7 </w:t>
      </w:r>
      <w:r w:rsidRPr="00BC7E94">
        <w:rPr>
          <w:rFonts w:ascii="Garamond" w:hAnsi="Garamond"/>
          <w:sz w:val="24"/>
          <w:szCs w:val="24"/>
          <w:lang w:val="en-US"/>
        </w:rPr>
        <w:t xml:space="preserve">against </w:t>
      </w:r>
      <w:r w:rsidRPr="00BC7E94">
        <w:rPr>
          <w:rFonts w:ascii="Garamond" w:hAnsi="Garamond"/>
          <w:sz w:val="24"/>
          <w:szCs w:val="24"/>
          <w:lang w:val="en-US" w:eastAsia="fr-FR"/>
        </w:rPr>
        <w:t xml:space="preserve">+13.6 </w:t>
      </w:r>
      <w:r w:rsidRPr="00BC7E94">
        <w:rPr>
          <w:rFonts w:ascii="Garamond" w:hAnsi="Garamond"/>
          <w:sz w:val="24"/>
          <w:szCs w:val="24"/>
          <w:lang w:val="en-US"/>
        </w:rPr>
        <w:t>percent</w:t>
      </w:r>
      <w:r w:rsidRPr="00BC7E94">
        <w:rPr>
          <w:rFonts w:ascii="Garamond" w:hAnsi="Garamond"/>
          <w:sz w:val="24"/>
          <w:szCs w:val="24"/>
          <w:lang w:val="en-US" w:eastAsia="fr-FR"/>
        </w:rPr>
        <w:t>).</w:t>
      </w:r>
    </w:p>
    <w:p w:rsidR="00424709" w:rsidRPr="00BC7E94" w:rsidRDefault="00424709" w:rsidP="00510FA2">
      <w:pPr>
        <w:spacing w:line="360" w:lineRule="auto"/>
        <w:jc w:val="both"/>
        <w:rPr>
          <w:rFonts w:ascii="Garamond" w:hAnsi="Garamond" w:cs="Calibri"/>
          <w:b/>
          <w:color w:val="5B9BD5" w:themeColor="accent1"/>
          <w:sz w:val="24"/>
          <w:szCs w:val="24"/>
          <w:lang w:val="en-US"/>
        </w:rPr>
      </w:pPr>
      <w:r w:rsidRPr="00BC7E94">
        <w:rPr>
          <w:rFonts w:ascii="Garamond" w:hAnsi="Garamond" w:cs="Calibri"/>
          <w:b/>
          <w:color w:val="5B9BD5" w:themeColor="accent1"/>
          <w:sz w:val="24"/>
          <w:szCs w:val="24"/>
          <w:lang w:val="en-US"/>
        </w:rPr>
        <w:t>Headline inflation and its main components, (base 2016/2017=100)</w:t>
      </w:r>
    </w:p>
    <w:p w:rsidR="00424709" w:rsidRPr="00BC7E94" w:rsidRDefault="00E35EE7" w:rsidP="00424709">
      <w:pPr>
        <w:spacing w:line="240" w:lineRule="auto"/>
        <w:jc w:val="both"/>
        <w:rPr>
          <w:rFonts w:ascii="Garamond" w:eastAsia="Times New Roman" w:hAnsi="Garamond" w:cs="Calibri"/>
          <w:b/>
          <w:bCs/>
          <w:color w:val="000000" w:themeColor="text1"/>
          <w:sz w:val="24"/>
          <w:szCs w:val="24"/>
          <w:lang w:val="en-GB"/>
        </w:rPr>
      </w:pPr>
      <w:r w:rsidRPr="00BC7E94">
        <w:rPr>
          <w:rFonts w:ascii="Garamond" w:eastAsia="Times New Roman" w:hAnsi="Garamond" w:cs="Calibri"/>
          <w:b/>
          <w:bCs/>
          <w:color w:val="FF0000"/>
          <w:sz w:val="24"/>
          <w:szCs w:val="24"/>
          <w:lang w:val="en-GB"/>
        </w:rPr>
        <w:object w:dxaOrig="7781" w:dyaOrig="85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6.25pt;height:335.25pt" o:ole="">
            <v:imagedata r:id="rId10" o:title=""/>
          </v:shape>
          <o:OLEObject Type="Embed" ProgID="Excel.Sheet.12" ShapeID="_x0000_i1025" DrawAspect="Content" ObjectID="_1761111988" r:id="rId11"/>
        </w:object>
      </w:r>
      <w:r w:rsidR="006B04E3" w:rsidRPr="00BC7E94">
        <w:rPr>
          <w:rFonts w:ascii="Garamond" w:hAnsi="Garamond" w:cs="Calibri"/>
          <w:b/>
          <w:i/>
          <w:color w:val="000000" w:themeColor="text1"/>
          <w:sz w:val="24"/>
          <w:szCs w:val="24"/>
          <w:lang w:val="en-GB"/>
        </w:rPr>
        <w:t>Source: BRB, from INS</w:t>
      </w:r>
      <w:r w:rsidR="00424709" w:rsidRPr="00BC7E94">
        <w:rPr>
          <w:rFonts w:ascii="Garamond" w:hAnsi="Garamond" w:cs="Calibri"/>
          <w:b/>
          <w:i/>
          <w:color w:val="000000" w:themeColor="text1"/>
          <w:sz w:val="24"/>
          <w:szCs w:val="24"/>
          <w:lang w:val="en-GB"/>
        </w:rPr>
        <w:t>BU data</w:t>
      </w:r>
    </w:p>
    <w:p w:rsidR="0067771E" w:rsidRPr="00BC7E94" w:rsidRDefault="0067771E" w:rsidP="00BC7E94">
      <w:pPr>
        <w:jc w:val="both"/>
        <w:rPr>
          <w:rFonts w:ascii="Garamond" w:hAnsi="Garamond"/>
          <w:sz w:val="24"/>
          <w:szCs w:val="24"/>
          <w:lang w:val="en-US"/>
        </w:rPr>
      </w:pPr>
      <w:bookmarkStart w:id="2" w:name="_Toc63849218"/>
      <w:r w:rsidRPr="00BC7E94">
        <w:rPr>
          <w:rFonts w:ascii="Garamond" w:hAnsi="Garamond"/>
          <w:sz w:val="24"/>
          <w:szCs w:val="24"/>
          <w:lang w:val="en-US"/>
        </w:rPr>
        <w:t xml:space="preserve">The rise in food inflation mainly concerned prices in the sub-headings "bread and cereals" (39.0 against 31.4 percent), "milk, cheese and eggs" (15.1 against 10.1), "vegetables" (62.3 </w:t>
      </w:r>
      <w:r w:rsidRPr="00BC7E94">
        <w:rPr>
          <w:rFonts w:ascii="Garamond" w:hAnsi="Garamond"/>
          <w:sz w:val="24"/>
          <w:szCs w:val="24"/>
          <w:lang w:val="en-US"/>
        </w:rPr>
        <w:t>against 17.9 percent) and "food products " (8.8 against 6.1 percent).</w:t>
      </w:r>
    </w:p>
    <w:p w:rsidR="0067771E" w:rsidRPr="00BC7E94" w:rsidRDefault="0067771E" w:rsidP="00BC7E94">
      <w:pPr>
        <w:jc w:val="both"/>
        <w:rPr>
          <w:rFonts w:ascii="Garamond" w:hAnsi="Garamond"/>
          <w:sz w:val="24"/>
          <w:szCs w:val="24"/>
          <w:lang w:val="en-US"/>
        </w:rPr>
      </w:pPr>
      <w:r w:rsidRPr="00BC7E94">
        <w:rPr>
          <w:rFonts w:ascii="Garamond" w:hAnsi="Garamond"/>
          <w:sz w:val="24"/>
          <w:szCs w:val="24"/>
          <w:lang w:val="en-US"/>
        </w:rPr>
        <w:t>The slight deceleration in non-food inflation mainly concerned the sub-headings "furniture, household goods and routine household maintenance" (15.0 against 22.4 percent), "health" (3.8 against 6.3percent), "transport" (3.7 against 28.3 percent) and "communications" (1.0 against15.0 percent).</w:t>
      </w:r>
    </w:p>
    <w:p w:rsidR="0067771E" w:rsidRPr="00BC7E94" w:rsidRDefault="0067771E" w:rsidP="00BC7E94">
      <w:pPr>
        <w:jc w:val="both"/>
        <w:rPr>
          <w:rFonts w:ascii="Garamond" w:hAnsi="Garamond"/>
          <w:sz w:val="24"/>
          <w:szCs w:val="24"/>
          <w:lang w:val="en-US"/>
        </w:rPr>
      </w:pPr>
      <w:r w:rsidRPr="00BC7E94">
        <w:rPr>
          <w:rFonts w:ascii="Garamond" w:hAnsi="Garamond"/>
          <w:sz w:val="24"/>
          <w:szCs w:val="24"/>
          <w:lang w:val="en-US"/>
        </w:rPr>
        <w:t>The prices of the sub-headings like "beverages and tobacco» (13.2 against 9.1), "leisure and culture" (27.4 against 3.6 percent), "education" (5.2 against 0.6) and "restaurants and hotels" (18.7 against 10.0 percent) rose significantly.</w:t>
      </w:r>
    </w:p>
    <w:p w:rsidR="0067771E" w:rsidRPr="00BC7E94" w:rsidRDefault="0067771E" w:rsidP="00BC7E94">
      <w:pPr>
        <w:jc w:val="both"/>
        <w:rPr>
          <w:rFonts w:ascii="Garamond" w:hAnsi="Garamond"/>
          <w:sz w:val="24"/>
          <w:szCs w:val="24"/>
          <w:lang w:val="en-US"/>
        </w:rPr>
      </w:pPr>
      <w:r w:rsidRPr="00BC7E94">
        <w:rPr>
          <w:rFonts w:ascii="Garamond" w:hAnsi="Garamond"/>
          <w:sz w:val="24"/>
          <w:szCs w:val="24"/>
          <w:lang w:val="en-US"/>
        </w:rPr>
        <w:t>The price index for energy, fuel and other combustibles reached a level of 17.4 percent in May 2023, compared with 19.4 percent in April 2022.</w:t>
      </w:r>
    </w:p>
    <w:p w:rsidR="0067771E" w:rsidRPr="00BC7E94" w:rsidRDefault="0067771E" w:rsidP="00BC7E94">
      <w:pPr>
        <w:jc w:val="both"/>
        <w:rPr>
          <w:rFonts w:ascii="Garamond" w:hAnsi="Garamond"/>
          <w:sz w:val="24"/>
          <w:szCs w:val="24"/>
          <w:lang w:val="en-US"/>
        </w:rPr>
      </w:pPr>
      <w:r w:rsidRPr="00BC7E94">
        <w:rPr>
          <w:rFonts w:ascii="Garamond" w:hAnsi="Garamond"/>
          <w:sz w:val="24"/>
          <w:szCs w:val="24"/>
          <w:lang w:val="en-US"/>
        </w:rPr>
        <w:t>Compared with the same period last year, headline inflation excluding food and energy prices, which is the proxy for underlying inflation, fell to 16.7 percent from 18.2 percent in 2022.</w:t>
      </w:r>
    </w:p>
    <w:p w:rsidR="00424709" w:rsidRPr="00BC7E94" w:rsidRDefault="00424709" w:rsidP="00B83C67">
      <w:pPr>
        <w:keepNext/>
        <w:widowControl w:val="0"/>
        <w:shd w:val="clear" w:color="auto" w:fill="FFFFFF"/>
        <w:autoSpaceDE w:val="0"/>
        <w:autoSpaceDN w:val="0"/>
        <w:adjustRightInd w:val="0"/>
        <w:spacing w:after="120" w:line="360" w:lineRule="auto"/>
        <w:jc w:val="both"/>
        <w:outlineLvl w:val="1"/>
        <w:rPr>
          <w:rFonts w:ascii="Garamond" w:eastAsia="Times New Roman" w:hAnsi="Garamond" w:cs="Calibri"/>
          <w:b/>
          <w:bCs/>
          <w:color w:val="5B9BD5" w:themeColor="accent1"/>
          <w:sz w:val="24"/>
          <w:szCs w:val="24"/>
          <w:lang w:val="en-US" w:eastAsia="fr-FR"/>
        </w:rPr>
      </w:pPr>
      <w:r w:rsidRPr="00BC7E94">
        <w:rPr>
          <w:rFonts w:ascii="Garamond" w:eastAsia="Times New Roman" w:hAnsi="Garamond" w:cs="Calibri"/>
          <w:b/>
          <w:bCs/>
          <w:color w:val="5B9BD5" w:themeColor="accent1"/>
          <w:sz w:val="24"/>
          <w:szCs w:val="24"/>
          <w:lang w:val="en-US" w:eastAsia="fr-FR"/>
        </w:rPr>
        <w:t>IV. TRADE</w:t>
      </w:r>
      <w:bookmarkEnd w:id="2"/>
      <w:r w:rsidRPr="00BC7E94">
        <w:rPr>
          <w:rFonts w:ascii="Garamond" w:eastAsia="Times New Roman" w:hAnsi="Garamond" w:cs="Calibri"/>
          <w:b/>
          <w:bCs/>
          <w:color w:val="5B9BD5" w:themeColor="accent1"/>
          <w:sz w:val="24"/>
          <w:szCs w:val="24"/>
          <w:lang w:val="en-US" w:eastAsia="fr-FR"/>
        </w:rPr>
        <w:t xml:space="preserve"> BALANCE</w:t>
      </w:r>
    </w:p>
    <w:p w:rsidR="00943DF1" w:rsidRPr="00BC7E94" w:rsidRDefault="00943DF1" w:rsidP="00943DF1">
      <w:pPr>
        <w:spacing w:line="360" w:lineRule="auto"/>
        <w:jc w:val="both"/>
        <w:rPr>
          <w:rFonts w:ascii="Garamond" w:hAnsi="Garamond"/>
          <w:sz w:val="24"/>
          <w:szCs w:val="24"/>
          <w:lang w:val="en-US"/>
        </w:rPr>
      </w:pPr>
      <w:r w:rsidRPr="00BC7E94">
        <w:rPr>
          <w:rFonts w:ascii="Garamond" w:hAnsi="Garamond"/>
          <w:sz w:val="24"/>
          <w:szCs w:val="24"/>
          <w:lang w:val="en-US"/>
        </w:rPr>
        <w:t>The trade balance deficit widened further in May 2023 and stood at 917,604.5 million compared to 741,711.8 million of BIF in the same period of 2022, in relation to the increase in CIF imports (BIF 1,058,271.3 against 885,142.6 million), associated with the drop in CIF exports (BIF 140,666.8 against 143,430.8 million). As a result, the commercial coverage rate deteriorated, standing at 13.3 percent compared to 16.2 percent in May 2022.</w:t>
      </w:r>
    </w:p>
    <w:p w:rsidR="00424709" w:rsidRPr="00BC7E94" w:rsidRDefault="00424709" w:rsidP="00424709">
      <w:pPr>
        <w:keepNext/>
        <w:widowControl w:val="0"/>
        <w:shd w:val="clear" w:color="auto" w:fill="FFFFFF"/>
        <w:autoSpaceDE w:val="0"/>
        <w:autoSpaceDN w:val="0"/>
        <w:adjustRightInd w:val="0"/>
        <w:spacing w:after="120" w:line="360" w:lineRule="auto"/>
        <w:jc w:val="both"/>
        <w:outlineLvl w:val="1"/>
        <w:rPr>
          <w:rFonts w:ascii="Garamond" w:eastAsia="Times New Roman" w:hAnsi="Garamond" w:cs="Calibri"/>
          <w:b/>
          <w:bCs/>
          <w:color w:val="5B9BD5" w:themeColor="accent1"/>
          <w:sz w:val="24"/>
          <w:szCs w:val="24"/>
          <w:lang w:val="en-US" w:eastAsia="fr-FR"/>
        </w:rPr>
      </w:pPr>
      <w:r w:rsidRPr="00BC7E94">
        <w:rPr>
          <w:rFonts w:ascii="Garamond" w:eastAsia="Times New Roman" w:hAnsi="Garamond" w:cs="Calibri"/>
          <w:b/>
          <w:bCs/>
          <w:color w:val="5B9BD5" w:themeColor="accent1"/>
          <w:sz w:val="24"/>
          <w:szCs w:val="24"/>
          <w:lang w:val="en-US" w:eastAsia="fr-FR"/>
        </w:rPr>
        <w:lastRenderedPageBreak/>
        <w:t>IV.1 Exports</w:t>
      </w:r>
    </w:p>
    <w:p w:rsidR="00943DF1" w:rsidRPr="00BC7E94" w:rsidRDefault="00943DF1" w:rsidP="00943DF1">
      <w:pPr>
        <w:spacing w:line="360" w:lineRule="auto"/>
        <w:jc w:val="both"/>
        <w:rPr>
          <w:rFonts w:ascii="Garamond" w:hAnsi="Garamond"/>
          <w:sz w:val="24"/>
          <w:szCs w:val="24"/>
          <w:lang w:val="en-US"/>
        </w:rPr>
      </w:pPr>
      <w:r w:rsidRPr="00BC7E94">
        <w:rPr>
          <w:rFonts w:ascii="Garamond" w:hAnsi="Garamond"/>
          <w:sz w:val="24"/>
          <w:szCs w:val="24"/>
          <w:lang w:val="en-US"/>
        </w:rPr>
        <w:t>In May 2023, cumulative exports decreased in value (-1.9 percent) while they increased in volume (+46.8 percent) compared to the same period of the previous year.</w:t>
      </w:r>
    </w:p>
    <w:p w:rsidR="00943DF1" w:rsidRPr="00BC7E94" w:rsidRDefault="00943DF1" w:rsidP="00943DF1">
      <w:pPr>
        <w:spacing w:line="360" w:lineRule="auto"/>
        <w:jc w:val="both"/>
        <w:rPr>
          <w:rFonts w:ascii="Garamond" w:hAnsi="Garamond"/>
          <w:sz w:val="24"/>
          <w:szCs w:val="24"/>
          <w:lang w:val="en-US"/>
        </w:rPr>
      </w:pPr>
      <w:r w:rsidRPr="00BC7E94">
        <w:rPr>
          <w:rFonts w:ascii="Garamond" w:hAnsi="Garamond"/>
          <w:sz w:val="24"/>
          <w:szCs w:val="24"/>
          <w:lang w:val="en-US"/>
        </w:rPr>
        <w:t>In value terms, the drop in exports concerned only primary products (BIF 72,356.8 against 93,188.3 million) while manufactured products (BIF 68,310.0 against 50,242.5 million) increased.</w:t>
      </w:r>
    </w:p>
    <w:p w:rsidR="00943DF1" w:rsidRPr="00BC7E94" w:rsidRDefault="00943DF1" w:rsidP="00943DF1">
      <w:pPr>
        <w:spacing w:line="360" w:lineRule="auto"/>
        <w:jc w:val="both"/>
        <w:rPr>
          <w:rFonts w:ascii="Garamond" w:hAnsi="Garamond"/>
          <w:sz w:val="24"/>
          <w:szCs w:val="24"/>
          <w:lang w:val="en-US"/>
        </w:rPr>
      </w:pPr>
      <w:r w:rsidRPr="00BC7E94">
        <w:rPr>
          <w:rFonts w:ascii="Garamond" w:hAnsi="Garamond"/>
          <w:sz w:val="24"/>
          <w:szCs w:val="24"/>
          <w:lang w:val="en-US"/>
        </w:rPr>
        <w:t>The drop in exports of primary products is mainly explained by exports of tea (BIF 19,978.6 against 22,053.1 million), niobium ore (BIF 1,626.4 against 2,443.7 million) and non-monetary gold (+BIF 50,466. 6 million), while there had been no exports of this product in the same period of 2022. On the other hand, coffee exports increased (BIF 49,941.1 against 16,748.9 million) the previous year.</w:t>
      </w:r>
    </w:p>
    <w:p w:rsidR="00943DF1" w:rsidRPr="00BC7E94" w:rsidRDefault="00943DF1" w:rsidP="00943DF1">
      <w:pPr>
        <w:spacing w:line="360" w:lineRule="auto"/>
        <w:jc w:val="both"/>
        <w:rPr>
          <w:rFonts w:ascii="Garamond" w:hAnsi="Garamond"/>
          <w:sz w:val="24"/>
          <w:szCs w:val="24"/>
          <w:lang w:val="en-US"/>
        </w:rPr>
      </w:pPr>
      <w:r w:rsidRPr="00BC7E94">
        <w:rPr>
          <w:rFonts w:ascii="Garamond" w:hAnsi="Garamond"/>
          <w:sz w:val="24"/>
          <w:szCs w:val="24"/>
          <w:lang w:val="en-US"/>
        </w:rPr>
        <w:t>Concerning exports of manufactured products, their increase concerned the exports of beers (BIF 9,179.2 against 6,824.8 million), wheat flour (BIF 10,552.0 against 4,272.6 million), dark glass bottle (BIF 4,293.4 against 3,165.7 million) and those of cigarettes (BIF 8,945.2 against 7,992.4 million).</w:t>
      </w:r>
    </w:p>
    <w:p w:rsidR="00943DF1" w:rsidRPr="00BC7E94" w:rsidRDefault="00943DF1" w:rsidP="00943DF1">
      <w:pPr>
        <w:spacing w:line="360" w:lineRule="auto"/>
        <w:jc w:val="both"/>
        <w:rPr>
          <w:rFonts w:ascii="Garamond" w:hAnsi="Garamond"/>
          <w:sz w:val="24"/>
          <w:szCs w:val="24"/>
          <w:lang w:val="en-US"/>
        </w:rPr>
      </w:pPr>
      <w:r w:rsidRPr="00BC7E94">
        <w:rPr>
          <w:rFonts w:ascii="Garamond" w:hAnsi="Garamond"/>
          <w:sz w:val="24"/>
          <w:szCs w:val="24"/>
          <w:lang w:val="en-US"/>
        </w:rPr>
        <w:t>In volume, the increase in exports concerned both primary products (17,849 against 6,990 tonnes) and manufactured products (34,023 against 28,336 tonnes).</w:t>
      </w:r>
    </w:p>
    <w:p w:rsidR="00424709" w:rsidRPr="00BC7E94" w:rsidRDefault="00424709" w:rsidP="00E316C6">
      <w:pPr>
        <w:spacing w:after="120" w:line="360" w:lineRule="auto"/>
        <w:jc w:val="both"/>
        <w:rPr>
          <w:rFonts w:ascii="Garamond" w:eastAsia="Times New Roman" w:hAnsi="Garamond" w:cs="Calibri"/>
          <w:b/>
          <w:bCs/>
          <w:color w:val="5B9BD5" w:themeColor="accent1"/>
          <w:sz w:val="24"/>
          <w:szCs w:val="24"/>
          <w:lang w:val="en-US" w:eastAsia="fr-FR"/>
        </w:rPr>
      </w:pPr>
      <w:r w:rsidRPr="00BC7E94">
        <w:rPr>
          <w:rFonts w:ascii="Garamond" w:eastAsia="Times New Roman" w:hAnsi="Garamond" w:cs="Calibri"/>
          <w:b/>
          <w:bCs/>
          <w:color w:val="5B9BD5" w:themeColor="accent1"/>
          <w:sz w:val="24"/>
          <w:szCs w:val="24"/>
          <w:lang w:val="en-US" w:eastAsia="fr-FR"/>
        </w:rPr>
        <w:t>IV.2 Imports</w:t>
      </w:r>
    </w:p>
    <w:p w:rsidR="00943DF1" w:rsidRPr="00BC7E94" w:rsidRDefault="00943DF1" w:rsidP="00943DF1">
      <w:pPr>
        <w:spacing w:line="360" w:lineRule="auto"/>
        <w:jc w:val="both"/>
        <w:rPr>
          <w:rFonts w:ascii="Garamond" w:hAnsi="Garamond"/>
          <w:sz w:val="24"/>
          <w:szCs w:val="24"/>
          <w:lang w:val="en-US"/>
        </w:rPr>
      </w:pPr>
      <w:r w:rsidRPr="00BC7E94">
        <w:rPr>
          <w:rFonts w:ascii="Garamond" w:hAnsi="Garamond"/>
          <w:sz w:val="24"/>
          <w:szCs w:val="24"/>
          <w:lang w:val="en-US"/>
        </w:rPr>
        <w:t>At the end of May 2023, cumulative imports increased both in value (19.6 percent) and in volume (16.3 percent) compared to the same period of 2022.</w:t>
      </w:r>
    </w:p>
    <w:p w:rsidR="00943DF1" w:rsidRPr="00BC7E94" w:rsidRDefault="00943DF1" w:rsidP="00943DF1">
      <w:pPr>
        <w:spacing w:line="360" w:lineRule="auto"/>
        <w:jc w:val="both"/>
        <w:rPr>
          <w:rFonts w:ascii="Garamond" w:hAnsi="Garamond"/>
          <w:sz w:val="24"/>
          <w:szCs w:val="24"/>
          <w:lang w:val="en-US"/>
        </w:rPr>
      </w:pPr>
      <w:r w:rsidRPr="00BC7E94">
        <w:rPr>
          <w:rFonts w:ascii="Garamond" w:hAnsi="Garamond"/>
          <w:sz w:val="24"/>
          <w:szCs w:val="24"/>
          <w:lang w:val="en-US"/>
        </w:rPr>
        <w:t>In value terms, the increase in imports concerned imports of intermediary goods (BIF 575,785.3 against 418,713.1 million) and capital goods (BIF 190,612.7 against 152,156.3 million). On the other hand, imports of consumer goods fell (BIF 291,873.3 against 314,273.2 million).</w:t>
      </w:r>
    </w:p>
    <w:p w:rsidR="00943DF1" w:rsidRPr="00BC7E94" w:rsidRDefault="00943DF1" w:rsidP="00943DF1">
      <w:pPr>
        <w:spacing w:line="360" w:lineRule="auto"/>
        <w:jc w:val="both"/>
        <w:rPr>
          <w:rFonts w:ascii="Garamond" w:hAnsi="Garamond"/>
          <w:sz w:val="24"/>
          <w:szCs w:val="24"/>
          <w:lang w:val="en-US"/>
        </w:rPr>
      </w:pPr>
      <w:r w:rsidRPr="00BC7E94">
        <w:rPr>
          <w:rFonts w:ascii="Garamond" w:hAnsi="Garamond"/>
          <w:sz w:val="24"/>
          <w:szCs w:val="24"/>
          <w:lang w:val="en-US"/>
        </w:rPr>
        <w:t>The increase in imports of intermediary goods is mainly explained by the increase in imports of goods intended for agriculture and livestock (BIF 154,167.6 against 70,549.1 million), food (BIF 62,749.5 against 45,791.6 million), construction (BIF 52,470.9 against 40,977.4 million) and mineral oils (BIF 205,402.8 against 161,626.7 million). On the other hand, imports of metallurgical goods (BIF 48,841.9 against 60,125.5 million) fell.</w:t>
      </w:r>
    </w:p>
    <w:p w:rsidR="00943DF1" w:rsidRPr="00BC7E94" w:rsidRDefault="00943DF1" w:rsidP="00943DF1">
      <w:pPr>
        <w:spacing w:line="360" w:lineRule="auto"/>
        <w:jc w:val="both"/>
        <w:rPr>
          <w:rFonts w:ascii="Garamond" w:hAnsi="Garamond"/>
          <w:sz w:val="24"/>
          <w:szCs w:val="24"/>
          <w:lang w:val="en-US"/>
        </w:rPr>
      </w:pPr>
      <w:r w:rsidRPr="00BC7E94">
        <w:rPr>
          <w:rFonts w:ascii="Garamond" w:hAnsi="Garamond"/>
          <w:sz w:val="24"/>
          <w:szCs w:val="24"/>
          <w:lang w:val="en-US"/>
        </w:rPr>
        <w:t>The increase in imports of capital goods concerned boilers and construction equipment (BIF 65,544.5 against 51,044.0 million), parts and tools (BIF 17,704.7 against 14,626.0 million), electrical equipment (BIF 34,492.8 against 32,017.9 million), tractors, vehicles and machinery/transport (BIF 43,595.0 against 35,310.2 million) and other capital goods (BIF 29,275.6 against 19,158.1 million).</w:t>
      </w:r>
    </w:p>
    <w:p w:rsidR="00943DF1" w:rsidRPr="00BC7E94" w:rsidRDefault="00943DF1" w:rsidP="00BC7E94">
      <w:pPr>
        <w:spacing w:line="360" w:lineRule="auto"/>
        <w:jc w:val="both"/>
        <w:rPr>
          <w:rFonts w:ascii="Garamond" w:hAnsi="Garamond"/>
          <w:sz w:val="24"/>
          <w:szCs w:val="24"/>
          <w:lang w:val="en-US"/>
        </w:rPr>
      </w:pPr>
      <w:r w:rsidRPr="00BC7E94">
        <w:rPr>
          <w:rFonts w:ascii="Garamond" w:hAnsi="Garamond"/>
          <w:sz w:val="24"/>
          <w:szCs w:val="24"/>
          <w:lang w:val="en-US"/>
        </w:rPr>
        <w:lastRenderedPageBreak/>
        <w:t>Concerning imports of consumer goods, their decline is attributable to imports of textiles (BIF 20,028.9 against 53,242.9 million), as well as non-durable pharmaceutical consumer goods (BIF 41,568.7 against 50,578.5 million). However, imports intended for vehicles (BIF 38,434.6 against 32,361.4 million) and non-durable food consumer goods (BIF 76,475.2 against 70,438.9 million) increased.</w:t>
      </w:r>
    </w:p>
    <w:p w:rsidR="00943DF1" w:rsidRPr="00BC7E94" w:rsidRDefault="00943DF1" w:rsidP="00BC7E94">
      <w:pPr>
        <w:spacing w:line="360" w:lineRule="auto"/>
        <w:jc w:val="both"/>
        <w:rPr>
          <w:rFonts w:ascii="Garamond" w:hAnsi="Garamond"/>
          <w:sz w:val="24"/>
          <w:szCs w:val="24"/>
          <w:lang w:val="en-US"/>
        </w:rPr>
      </w:pPr>
      <w:r w:rsidRPr="00BC7E94">
        <w:rPr>
          <w:rFonts w:ascii="Garamond" w:hAnsi="Garamond"/>
          <w:sz w:val="24"/>
          <w:szCs w:val="24"/>
          <w:lang w:val="en-US"/>
        </w:rPr>
        <w:t xml:space="preserve">  In volume, the increase in imports mainly concerned intermediary goods (413,001 against 340,631 tonnes) and capital goods (25,735 against 20,917 tonnes) while those of consumer goods fell (104,601 against 105,765 tonnes).</w:t>
      </w:r>
    </w:p>
    <w:p w:rsidR="00424709" w:rsidRPr="00BC7E94" w:rsidRDefault="00424709" w:rsidP="00BC7E94">
      <w:pPr>
        <w:spacing w:line="360" w:lineRule="auto"/>
        <w:jc w:val="both"/>
        <w:rPr>
          <w:rFonts w:ascii="Garamond" w:eastAsia="Times New Roman" w:hAnsi="Garamond" w:cs="Calibri"/>
          <w:b/>
          <w:bCs/>
          <w:color w:val="5B9BD5" w:themeColor="accent1"/>
          <w:sz w:val="24"/>
          <w:szCs w:val="24"/>
          <w:lang w:val="en-US" w:eastAsia="fr-FR"/>
        </w:rPr>
      </w:pPr>
      <w:r w:rsidRPr="00BC7E94">
        <w:rPr>
          <w:rFonts w:ascii="Garamond" w:eastAsia="Times New Roman" w:hAnsi="Garamond" w:cs="Calibri"/>
          <w:b/>
          <w:bCs/>
          <w:color w:val="5B9BD5" w:themeColor="accent1"/>
          <w:sz w:val="24"/>
          <w:szCs w:val="24"/>
          <w:lang w:val="en-US" w:eastAsia="fr-FR"/>
        </w:rPr>
        <w:t xml:space="preserve">V. EXCHANGE RATE </w:t>
      </w:r>
    </w:p>
    <w:p w:rsidR="0067771E" w:rsidRPr="00BC7E94" w:rsidRDefault="0067771E" w:rsidP="00BC7E94">
      <w:pPr>
        <w:spacing w:line="360" w:lineRule="auto"/>
        <w:jc w:val="both"/>
        <w:rPr>
          <w:rFonts w:ascii="Garamond" w:hAnsi="Garamond"/>
          <w:sz w:val="24"/>
          <w:szCs w:val="24"/>
          <w:lang w:val="en-US"/>
        </w:rPr>
      </w:pPr>
      <w:bookmarkStart w:id="3" w:name="_Toc428948209"/>
      <w:r w:rsidRPr="00BC7E94">
        <w:rPr>
          <w:rFonts w:ascii="Garamond" w:hAnsi="Garamond"/>
          <w:sz w:val="24"/>
          <w:szCs w:val="24"/>
          <w:lang w:val="en-US"/>
        </w:rPr>
        <w:t xml:space="preserve">Compared with the same period in 2022, </w:t>
      </w:r>
      <w:r w:rsidR="00E35EE7">
        <w:rPr>
          <w:rFonts w:ascii="Garamond" w:hAnsi="Garamond"/>
          <w:sz w:val="24"/>
          <w:szCs w:val="24"/>
          <w:lang w:val="en-US"/>
        </w:rPr>
        <w:t xml:space="preserve">                </w:t>
      </w:r>
      <w:r w:rsidRPr="00BC7E94">
        <w:rPr>
          <w:rFonts w:ascii="Garamond" w:hAnsi="Garamond"/>
          <w:sz w:val="24"/>
          <w:szCs w:val="24"/>
          <w:lang w:val="en-US"/>
        </w:rPr>
        <w:t>the BIF depreciated by 33 percent against</w:t>
      </w:r>
      <w:r w:rsidR="00E35EE7">
        <w:rPr>
          <w:rFonts w:ascii="Garamond" w:hAnsi="Garamond"/>
          <w:sz w:val="24"/>
          <w:szCs w:val="24"/>
          <w:lang w:val="en-US"/>
        </w:rPr>
        <w:t xml:space="preserve">             </w:t>
      </w:r>
      <w:r w:rsidRPr="00BC7E94">
        <w:rPr>
          <w:rFonts w:ascii="Garamond" w:hAnsi="Garamond"/>
          <w:sz w:val="24"/>
          <w:szCs w:val="24"/>
          <w:lang w:val="en-US"/>
        </w:rPr>
        <w:t xml:space="preserve"> the US Dollar in May 2023; the average exchange rate stood at 2,714.82 against BIF 2,026.92 for one unit of US Dollar. </w:t>
      </w:r>
    </w:p>
    <w:p w:rsidR="0067771E" w:rsidRDefault="0067771E" w:rsidP="00BC7E94">
      <w:pPr>
        <w:spacing w:line="360" w:lineRule="auto"/>
        <w:jc w:val="both"/>
        <w:rPr>
          <w:rFonts w:ascii="Garamond" w:hAnsi="Garamond"/>
          <w:sz w:val="24"/>
          <w:szCs w:val="24"/>
          <w:lang w:val="en-US"/>
        </w:rPr>
      </w:pPr>
      <w:r w:rsidRPr="00BC7E94">
        <w:rPr>
          <w:rFonts w:ascii="Garamond" w:hAnsi="Garamond"/>
          <w:sz w:val="24"/>
          <w:szCs w:val="24"/>
          <w:lang w:val="en-US"/>
        </w:rPr>
        <w:t>At the end of the period, the BIF depreciated by 39 percent against the US Dollar; the exchange went from BIF 2,029.12 at the end of May 2022 to BIF 2,822.15 per US Dollar unit at the end of May 2023.</w:t>
      </w:r>
    </w:p>
    <w:p w:rsidR="00E35EE7" w:rsidRDefault="00E35EE7" w:rsidP="00BC7E94">
      <w:pPr>
        <w:spacing w:line="360" w:lineRule="auto"/>
        <w:jc w:val="both"/>
        <w:rPr>
          <w:rFonts w:ascii="Garamond" w:hAnsi="Garamond"/>
          <w:sz w:val="24"/>
          <w:szCs w:val="24"/>
          <w:lang w:val="en-US"/>
        </w:rPr>
      </w:pPr>
    </w:p>
    <w:p w:rsidR="00E35EE7" w:rsidRDefault="00E35EE7" w:rsidP="00BC7E94">
      <w:pPr>
        <w:spacing w:line="360" w:lineRule="auto"/>
        <w:jc w:val="both"/>
        <w:rPr>
          <w:rFonts w:ascii="Garamond" w:hAnsi="Garamond"/>
          <w:sz w:val="24"/>
          <w:szCs w:val="24"/>
          <w:lang w:val="en-US"/>
        </w:rPr>
      </w:pPr>
    </w:p>
    <w:p w:rsidR="00E35EE7" w:rsidRPr="00BC7E94" w:rsidRDefault="00E35EE7" w:rsidP="00BC7E94">
      <w:pPr>
        <w:spacing w:line="360" w:lineRule="auto"/>
        <w:jc w:val="both"/>
        <w:rPr>
          <w:rFonts w:ascii="Garamond" w:hAnsi="Garamond"/>
          <w:sz w:val="24"/>
          <w:szCs w:val="24"/>
          <w:lang w:val="en-US"/>
        </w:rPr>
      </w:pPr>
    </w:p>
    <w:p w:rsidR="00424709" w:rsidRPr="00BC7E94" w:rsidRDefault="00424709" w:rsidP="00BC7E94">
      <w:pPr>
        <w:spacing w:line="360" w:lineRule="auto"/>
        <w:jc w:val="both"/>
        <w:rPr>
          <w:rFonts w:ascii="Garamond" w:eastAsia="Times New Roman" w:hAnsi="Garamond" w:cs="Calibri"/>
          <w:b/>
          <w:bCs/>
          <w:color w:val="5B9BD5" w:themeColor="accent1"/>
          <w:sz w:val="24"/>
          <w:szCs w:val="24"/>
          <w:lang w:val="en-US" w:eastAsia="fr-FR"/>
        </w:rPr>
      </w:pPr>
      <w:r w:rsidRPr="00BC7E94">
        <w:rPr>
          <w:rFonts w:ascii="Garamond" w:eastAsia="Times New Roman" w:hAnsi="Garamond" w:cs="Calibri"/>
          <w:b/>
          <w:bCs/>
          <w:color w:val="5B9BD5" w:themeColor="accent1"/>
          <w:sz w:val="24"/>
          <w:szCs w:val="24"/>
          <w:lang w:val="en-US" w:eastAsia="fr-FR"/>
        </w:rPr>
        <w:t>VI. GOVERNMENT FINANCIAL OPERATIONS</w:t>
      </w:r>
    </w:p>
    <w:p w:rsidR="00CC2449" w:rsidRPr="00BC7E94" w:rsidRDefault="00CC2449" w:rsidP="00BC7E94">
      <w:pPr>
        <w:spacing w:line="360" w:lineRule="auto"/>
        <w:jc w:val="both"/>
        <w:rPr>
          <w:rFonts w:ascii="Garamond" w:hAnsi="Garamond"/>
          <w:sz w:val="24"/>
          <w:szCs w:val="24"/>
          <w:lang w:val="en-GB"/>
        </w:rPr>
      </w:pPr>
      <w:r w:rsidRPr="00BC7E94">
        <w:rPr>
          <w:rFonts w:ascii="Garamond" w:hAnsi="Garamond"/>
          <w:sz w:val="24"/>
          <w:szCs w:val="24"/>
          <w:lang w:val="en-GB"/>
        </w:rPr>
        <w:t>Government fiscal operations, at the End-May 2023, revealed an overall deficit (excluding grants) of BIF354,168.7 million against BIF369,775.5 million BIF in the comparative period in 2022, i.e. a decrease of 4.2 percent. This reduction in the deficit is due to the increase in cumulative revenue (+18.1 percent) which is greater than that of cumulative expenditure (9.2 percent).</w:t>
      </w:r>
    </w:p>
    <w:p w:rsidR="00424709" w:rsidRPr="00BC7E94" w:rsidRDefault="00424709" w:rsidP="00125205">
      <w:pPr>
        <w:spacing w:after="120" w:line="360" w:lineRule="auto"/>
        <w:jc w:val="both"/>
        <w:rPr>
          <w:rFonts w:ascii="Garamond" w:eastAsia="Times New Roman" w:hAnsi="Garamond" w:cs="Calibri"/>
          <w:b/>
          <w:bCs/>
          <w:color w:val="5B9BD5" w:themeColor="accent1"/>
          <w:sz w:val="24"/>
          <w:szCs w:val="24"/>
          <w:lang w:val="en-US" w:eastAsia="fr-FR"/>
        </w:rPr>
      </w:pPr>
      <w:r w:rsidRPr="00BC7E94">
        <w:rPr>
          <w:rFonts w:ascii="Garamond" w:eastAsia="Times New Roman" w:hAnsi="Garamond" w:cs="Calibri"/>
          <w:b/>
          <w:bCs/>
          <w:color w:val="5B9BD5" w:themeColor="accent1"/>
          <w:sz w:val="24"/>
          <w:szCs w:val="24"/>
          <w:lang w:val="en-US" w:eastAsia="fr-FR"/>
        </w:rPr>
        <w:t>VI.1. Revenue</w:t>
      </w:r>
    </w:p>
    <w:p w:rsidR="00CC2449" w:rsidRPr="00BC7E94" w:rsidRDefault="00CC2449" w:rsidP="00BC7E94">
      <w:pPr>
        <w:spacing w:line="360" w:lineRule="auto"/>
        <w:jc w:val="both"/>
        <w:rPr>
          <w:rFonts w:ascii="Garamond" w:hAnsi="Garamond"/>
          <w:sz w:val="24"/>
          <w:szCs w:val="24"/>
          <w:lang w:val="en-GB"/>
        </w:rPr>
      </w:pPr>
      <w:r w:rsidRPr="00BC7E94">
        <w:rPr>
          <w:rFonts w:ascii="Garamond" w:hAnsi="Garamond"/>
          <w:sz w:val="24"/>
          <w:szCs w:val="24"/>
          <w:lang w:val="en-GB"/>
        </w:rPr>
        <w:t>At the End-May 2023, revenue accumulated by 23.3percent, standing at BIF123,428.4 against 100,131.0 million at end- May 2022. This increase concerned tax revenue (+BIF17,503.9 million) and non-tax (+BIF5,793.5 million).</w:t>
      </w:r>
    </w:p>
    <w:p w:rsidR="00CC2449" w:rsidRPr="00BC7E94" w:rsidRDefault="00CC2449" w:rsidP="00BC7E94">
      <w:pPr>
        <w:spacing w:line="360" w:lineRule="auto"/>
        <w:jc w:val="both"/>
        <w:rPr>
          <w:rFonts w:ascii="Garamond" w:hAnsi="Garamond"/>
          <w:sz w:val="24"/>
          <w:szCs w:val="24"/>
          <w:lang w:val="en-GB"/>
        </w:rPr>
      </w:pPr>
      <w:r w:rsidRPr="00BC7E94">
        <w:rPr>
          <w:rFonts w:ascii="Garamond" w:hAnsi="Garamond"/>
          <w:sz w:val="24"/>
          <w:szCs w:val="24"/>
          <w:lang w:val="en-GB"/>
        </w:rPr>
        <w:t>Likewise, cumulative revenue rose by 18.1 percent at the end of May 2023, standing at BIF652,653.9 against 552,520.9 million collected at the same period of the previous year, following the increase in tax revenue (+BIF72,129.7 million) and non-tax (+BIF28,003.3 million).</w:t>
      </w:r>
    </w:p>
    <w:p w:rsidR="00424709" w:rsidRPr="00BC7E94" w:rsidRDefault="00424709" w:rsidP="00BC7E94">
      <w:pPr>
        <w:spacing w:after="120" w:line="360" w:lineRule="auto"/>
        <w:jc w:val="both"/>
        <w:rPr>
          <w:rFonts w:ascii="Garamond" w:eastAsia="Times New Roman" w:hAnsi="Garamond" w:cs="Calibri"/>
          <w:b/>
          <w:bCs/>
          <w:color w:val="5B9BD5" w:themeColor="accent1"/>
          <w:sz w:val="24"/>
          <w:szCs w:val="24"/>
          <w:lang w:val="en-US" w:eastAsia="fr-FR"/>
        </w:rPr>
      </w:pPr>
      <w:r w:rsidRPr="00BC7E94">
        <w:rPr>
          <w:rFonts w:ascii="Garamond" w:eastAsia="Times New Roman" w:hAnsi="Garamond" w:cs="Calibri"/>
          <w:b/>
          <w:bCs/>
          <w:color w:val="5B9BD5" w:themeColor="accent1"/>
          <w:sz w:val="24"/>
          <w:szCs w:val="24"/>
          <w:lang w:val="en-US" w:eastAsia="fr-FR"/>
        </w:rPr>
        <w:t xml:space="preserve">VI.2. Expenditure  </w:t>
      </w:r>
    </w:p>
    <w:p w:rsidR="00CC2449" w:rsidRPr="00BC7E94" w:rsidRDefault="00CC2449" w:rsidP="00BC7E94">
      <w:pPr>
        <w:spacing w:line="360" w:lineRule="auto"/>
        <w:jc w:val="both"/>
        <w:rPr>
          <w:rFonts w:ascii="Garamond" w:hAnsi="Garamond"/>
          <w:sz w:val="24"/>
          <w:szCs w:val="24"/>
          <w:lang w:val="en-GB"/>
        </w:rPr>
      </w:pPr>
      <w:r w:rsidRPr="00BC7E94">
        <w:rPr>
          <w:rFonts w:ascii="Garamond" w:hAnsi="Garamond"/>
          <w:sz w:val="24"/>
          <w:szCs w:val="24"/>
          <w:lang w:val="en-GB"/>
        </w:rPr>
        <w:t xml:space="preserve">Expenditure incurred in May 2023 increased by 71.5 percent compared to the same period of 2022, standing at BIF250,495.5 against 146,067.9 million. similarly, cumulative expenditure rose by 9.2 percent at the end </w:t>
      </w:r>
      <w:r w:rsidR="00E35EE7">
        <w:rPr>
          <w:rFonts w:ascii="Garamond" w:hAnsi="Garamond"/>
          <w:sz w:val="24"/>
          <w:szCs w:val="24"/>
          <w:lang w:val="en-GB"/>
        </w:rPr>
        <w:t xml:space="preserve">              </w:t>
      </w:r>
      <w:r w:rsidRPr="00BC7E94">
        <w:rPr>
          <w:rFonts w:ascii="Garamond" w:hAnsi="Garamond"/>
          <w:sz w:val="24"/>
          <w:szCs w:val="24"/>
          <w:lang w:val="en-GB"/>
        </w:rPr>
        <w:lastRenderedPageBreak/>
        <w:t>of May 2023, standing at BIF1,006.8 against BIF922.2 billion at the same period of 2022.</w:t>
      </w:r>
    </w:p>
    <w:p w:rsidR="00CC2449" w:rsidRPr="00BC7E94" w:rsidRDefault="00CC2449" w:rsidP="00BC7E94">
      <w:pPr>
        <w:spacing w:line="360" w:lineRule="auto"/>
        <w:jc w:val="both"/>
        <w:rPr>
          <w:rFonts w:ascii="Garamond" w:hAnsi="Garamond"/>
          <w:sz w:val="24"/>
          <w:szCs w:val="24"/>
          <w:lang w:val="en-GB"/>
        </w:rPr>
      </w:pPr>
      <w:r w:rsidRPr="00BC7E94">
        <w:rPr>
          <w:rFonts w:ascii="Garamond" w:hAnsi="Garamond"/>
          <w:sz w:val="24"/>
          <w:szCs w:val="24"/>
          <w:lang w:val="en-GB"/>
        </w:rPr>
        <w:t>Personnel expenses increased by 42.6 percent in May 2023 relative to the same period of the previous year. It stood at BIF58,491.0 against 41,011.6 million in the same period of 2022.</w:t>
      </w:r>
    </w:p>
    <w:p w:rsidR="00424709" w:rsidRPr="00DA0D95" w:rsidRDefault="00424709" w:rsidP="00424709">
      <w:pPr>
        <w:keepNext/>
        <w:widowControl w:val="0"/>
        <w:shd w:val="clear" w:color="auto" w:fill="FFFFFF"/>
        <w:autoSpaceDE w:val="0"/>
        <w:autoSpaceDN w:val="0"/>
        <w:adjustRightInd w:val="0"/>
        <w:spacing w:after="120" w:line="360" w:lineRule="auto"/>
        <w:jc w:val="both"/>
        <w:outlineLvl w:val="1"/>
        <w:rPr>
          <w:rFonts w:ascii="Garamond" w:eastAsia="Times New Roman" w:hAnsi="Garamond" w:cs="Calibri"/>
          <w:b/>
          <w:bCs/>
          <w:color w:val="5B9BD5" w:themeColor="accent1"/>
          <w:lang w:val="en-US" w:eastAsia="fr-FR"/>
        </w:rPr>
      </w:pPr>
      <w:r w:rsidRPr="00DA0D95">
        <w:rPr>
          <w:rFonts w:ascii="Garamond" w:eastAsia="Times New Roman" w:hAnsi="Garamond" w:cs="Calibri"/>
          <w:b/>
          <w:bCs/>
          <w:color w:val="5B9BD5" w:themeColor="accent1"/>
          <w:lang w:val="en-US" w:eastAsia="fr-FR"/>
        </w:rPr>
        <w:t>VI.3. Public debt</w:t>
      </w:r>
    </w:p>
    <w:p w:rsidR="00551296" w:rsidRPr="001707C0" w:rsidRDefault="00551296" w:rsidP="00551296">
      <w:pPr>
        <w:spacing w:after="120" w:line="360" w:lineRule="auto"/>
        <w:jc w:val="both"/>
        <w:rPr>
          <w:rFonts w:ascii="Garamond" w:hAnsi="Garamond" w:cs="Calibri"/>
          <w:sz w:val="24"/>
          <w:szCs w:val="24"/>
          <w:lang w:val="en-US"/>
        </w:rPr>
      </w:pPr>
      <w:r w:rsidRPr="001707C0">
        <w:rPr>
          <w:rFonts w:ascii="Garamond" w:hAnsi="Garamond" w:cs="Calibri"/>
          <w:sz w:val="24"/>
          <w:szCs w:val="24"/>
          <w:lang w:val="en-US"/>
        </w:rPr>
        <w:t>Public debt increased by 29.1 percent at the end of May 2023, from 4,463.0 to BIF 5,763.2 billion, in connection with the increase in both domestic debt (+27.7 percent) and external debt (+32.6 percent).</w:t>
      </w:r>
    </w:p>
    <w:p w:rsidR="00551296" w:rsidRPr="001707C0" w:rsidRDefault="00551296" w:rsidP="00551296">
      <w:pPr>
        <w:spacing w:after="120" w:line="360" w:lineRule="auto"/>
        <w:jc w:val="both"/>
        <w:rPr>
          <w:rFonts w:ascii="Garamond" w:hAnsi="Garamond" w:cs="Calibri"/>
          <w:sz w:val="24"/>
          <w:szCs w:val="24"/>
          <w:lang w:val="en-US"/>
        </w:rPr>
      </w:pPr>
      <w:r w:rsidRPr="001707C0">
        <w:rPr>
          <w:rFonts w:ascii="Garamond" w:hAnsi="Garamond" w:cs="Calibri"/>
          <w:sz w:val="24"/>
          <w:szCs w:val="24"/>
          <w:lang w:val="en-US"/>
        </w:rPr>
        <w:t>Compared to the previous month, the outstanding public debt rose by 6.4 percent, in line with the increase in external debt (29.9 percent), the domestic debt having declined</w:t>
      </w:r>
      <w:r w:rsidR="00BC7E94">
        <w:rPr>
          <w:rFonts w:ascii="Garamond" w:hAnsi="Garamond" w:cs="Calibri"/>
          <w:sz w:val="24"/>
          <w:szCs w:val="24"/>
          <w:lang w:val="en-US"/>
        </w:rPr>
        <w:t xml:space="preserve"> </w:t>
      </w:r>
      <w:r w:rsidRPr="001707C0">
        <w:rPr>
          <w:rFonts w:ascii="Garamond" w:hAnsi="Garamond" w:cs="Calibri"/>
          <w:sz w:val="24"/>
          <w:szCs w:val="24"/>
          <w:lang w:val="en-US"/>
        </w:rPr>
        <w:t xml:space="preserve"> (-1.3 percent).</w:t>
      </w:r>
    </w:p>
    <w:p w:rsidR="00424709" w:rsidRPr="00DA0D95" w:rsidRDefault="00424709" w:rsidP="00424915">
      <w:pPr>
        <w:spacing w:after="120" w:line="360" w:lineRule="auto"/>
        <w:jc w:val="both"/>
        <w:rPr>
          <w:rFonts w:ascii="Garamond" w:eastAsia="Times New Roman" w:hAnsi="Garamond" w:cs="Calibri"/>
          <w:b/>
          <w:bCs/>
          <w:color w:val="5B9BD5" w:themeColor="accent1"/>
          <w:lang w:val="en-US" w:eastAsia="fr-FR"/>
        </w:rPr>
      </w:pPr>
      <w:r w:rsidRPr="00DA0D95">
        <w:rPr>
          <w:rFonts w:ascii="Garamond" w:eastAsia="Times New Roman" w:hAnsi="Garamond" w:cs="Calibri"/>
          <w:b/>
          <w:bCs/>
          <w:color w:val="5B9BD5" w:themeColor="accent1"/>
          <w:lang w:val="en-US" w:eastAsia="fr-FR"/>
        </w:rPr>
        <w:t>VI.3.1 Domestic Debt</w:t>
      </w:r>
    </w:p>
    <w:p w:rsidR="00551296" w:rsidRPr="001707C0" w:rsidRDefault="00551296" w:rsidP="00551296">
      <w:pPr>
        <w:spacing w:after="120" w:line="360" w:lineRule="auto"/>
        <w:jc w:val="both"/>
        <w:rPr>
          <w:rFonts w:ascii="Garamond" w:hAnsi="Garamond" w:cs="Calibri"/>
          <w:sz w:val="24"/>
          <w:szCs w:val="24"/>
          <w:lang w:val="en-US"/>
        </w:rPr>
      </w:pPr>
      <w:r w:rsidRPr="001707C0">
        <w:rPr>
          <w:rFonts w:ascii="Garamond" w:hAnsi="Garamond" w:cs="Calibri"/>
          <w:sz w:val="24"/>
          <w:szCs w:val="24"/>
          <w:lang w:val="en-US"/>
        </w:rPr>
        <w:t>Year-on-year, domestic debt grew by BIF 873,546.5 billion at the end of May 2023, from 3,154.7 to BIF 4,028.2 billion, in relation to the increase in Government debt to the banking sector (+BIF 888,916.5 million), especially in the form of advances from the BRB (BIF 631,664.1 million) and Treasury securities from commercial banks (BIF 204,144.9 million).</w:t>
      </w:r>
    </w:p>
    <w:p w:rsidR="00551296" w:rsidRPr="001707C0" w:rsidRDefault="00551296" w:rsidP="00551296">
      <w:pPr>
        <w:spacing w:after="120" w:line="360" w:lineRule="auto"/>
        <w:jc w:val="both"/>
        <w:rPr>
          <w:rFonts w:ascii="Garamond" w:hAnsi="Garamond" w:cs="Calibri"/>
          <w:sz w:val="24"/>
          <w:szCs w:val="24"/>
          <w:lang w:val="en-US"/>
        </w:rPr>
      </w:pPr>
      <w:r w:rsidRPr="001707C0">
        <w:rPr>
          <w:rFonts w:ascii="Garamond" w:hAnsi="Garamond" w:cs="Calibri"/>
          <w:sz w:val="24"/>
          <w:szCs w:val="24"/>
          <w:lang w:val="en-US"/>
        </w:rPr>
        <w:t>Compared to the previous month, domestic debt fell by BIF 53,577.7 million, in link with the reduction in Government debt to commercial banks (-BIF 48,507.1 million) and the BRB (-BIF 5,600.6 million).</w:t>
      </w:r>
    </w:p>
    <w:p w:rsidR="00424709" w:rsidRPr="00DA0D95" w:rsidRDefault="00424709" w:rsidP="00F01207">
      <w:pPr>
        <w:spacing w:after="120" w:line="360" w:lineRule="auto"/>
        <w:jc w:val="both"/>
        <w:rPr>
          <w:rFonts w:ascii="Garamond" w:eastAsia="Times New Roman" w:hAnsi="Garamond" w:cs="Calibri"/>
          <w:b/>
          <w:bCs/>
          <w:color w:val="5B9BD5" w:themeColor="accent1"/>
          <w:lang w:val="en-US" w:eastAsia="fr-FR"/>
        </w:rPr>
      </w:pPr>
      <w:r w:rsidRPr="00DA0D95">
        <w:rPr>
          <w:rFonts w:ascii="Garamond" w:eastAsia="Times New Roman" w:hAnsi="Garamond" w:cs="Calibri"/>
          <w:b/>
          <w:bCs/>
          <w:color w:val="5B9BD5" w:themeColor="accent1"/>
          <w:lang w:val="en-US" w:eastAsia="fr-FR"/>
        </w:rPr>
        <w:t>VI.3.2. External Debt</w:t>
      </w:r>
    </w:p>
    <w:p w:rsidR="00551296" w:rsidRPr="001707C0" w:rsidRDefault="00551296" w:rsidP="00551296">
      <w:pPr>
        <w:spacing w:after="120" w:line="360" w:lineRule="auto"/>
        <w:jc w:val="both"/>
        <w:rPr>
          <w:rFonts w:ascii="Garamond" w:hAnsi="Garamond" w:cs="Calibri"/>
          <w:sz w:val="24"/>
          <w:szCs w:val="24"/>
          <w:lang w:val="en-US"/>
        </w:rPr>
      </w:pPr>
      <w:bookmarkStart w:id="4" w:name="_Toc462207044"/>
      <w:bookmarkStart w:id="5" w:name="_Toc491782208"/>
      <w:bookmarkStart w:id="6" w:name="_Toc502928127"/>
      <w:bookmarkStart w:id="7" w:name="_Toc504574488"/>
      <w:bookmarkStart w:id="8" w:name="_Toc504633741"/>
      <w:bookmarkStart w:id="9" w:name="_Toc462207048"/>
      <w:bookmarkStart w:id="10" w:name="_Toc504633739"/>
      <w:bookmarkStart w:id="11" w:name="_Toc504574486"/>
      <w:bookmarkStart w:id="12" w:name="_Toc502928125"/>
      <w:bookmarkStart w:id="13" w:name="_Toc491782206"/>
      <w:bookmarkStart w:id="14" w:name="_Toc488740811"/>
      <w:bookmarkStart w:id="15" w:name="_Toc488739316"/>
      <w:bookmarkStart w:id="16" w:name="_Toc488739135"/>
      <w:bookmarkStart w:id="17" w:name="_Toc488739015"/>
      <w:bookmarkStart w:id="18" w:name="_Toc504633738"/>
      <w:bookmarkStart w:id="19" w:name="_Toc504574485"/>
      <w:bookmarkStart w:id="20" w:name="_Toc502928124"/>
      <w:bookmarkStart w:id="21" w:name="_Toc491782205"/>
      <w:bookmarkStart w:id="22" w:name="_Toc488740810"/>
      <w:bookmarkStart w:id="23" w:name="_Toc488739315"/>
      <w:bookmarkStart w:id="24" w:name="_Toc488739134"/>
      <w:bookmarkStart w:id="25" w:name="_Toc488739014"/>
      <w:bookmarkStart w:id="26" w:name="_Toc50389528"/>
      <w:bookmarkEnd w:id="3"/>
      <w:r w:rsidRPr="001707C0">
        <w:rPr>
          <w:rFonts w:ascii="Garamond" w:hAnsi="Garamond" w:cs="Calibri"/>
          <w:sz w:val="24"/>
          <w:szCs w:val="24"/>
          <w:lang w:val="en-US"/>
        </w:rPr>
        <w:t>Year-on-year, external debt increased by BIF 426,666.5 million at the end of May 2023, going from 1,308.3 to BIF 1,735.0 billion, in relation to drawings (+BIF 32,310.1 million) and revaluation losses (BIF 438,386.2 million), partially offset by the amortization of the debt (BIF 44,029.8 million).</w:t>
      </w:r>
    </w:p>
    <w:p w:rsidR="00551296" w:rsidRPr="001707C0" w:rsidRDefault="00551296" w:rsidP="00551296">
      <w:pPr>
        <w:spacing w:after="120" w:line="360" w:lineRule="auto"/>
        <w:jc w:val="both"/>
        <w:rPr>
          <w:rFonts w:ascii="Garamond" w:hAnsi="Garamond" w:cs="Calibri"/>
          <w:sz w:val="24"/>
          <w:szCs w:val="24"/>
          <w:lang w:val="en-US"/>
        </w:rPr>
      </w:pPr>
      <w:r w:rsidRPr="001707C0">
        <w:rPr>
          <w:rFonts w:ascii="Garamond" w:hAnsi="Garamond" w:cs="Calibri"/>
          <w:sz w:val="24"/>
          <w:szCs w:val="24"/>
          <w:lang w:val="en-US"/>
        </w:rPr>
        <w:t>Compared to the previous month, external debt grew by 29.9 percent at the end of May 2023, standing at 1,735.0 against BIF 1,335.4 billion in relation to revaluation gains (BIF 400,978.6 million), partially offset by the amortization of the debt (BIF 1,435.6 million).</w:t>
      </w:r>
    </w:p>
    <w:p w:rsidR="00551296" w:rsidRPr="001707C0" w:rsidRDefault="00551296" w:rsidP="00551296">
      <w:pPr>
        <w:spacing w:after="120" w:line="360" w:lineRule="auto"/>
        <w:jc w:val="both"/>
        <w:rPr>
          <w:rFonts w:ascii="Garamond" w:hAnsi="Garamond" w:cs="Calibri"/>
          <w:sz w:val="24"/>
          <w:szCs w:val="24"/>
          <w:lang w:val="en-US"/>
        </w:rPr>
      </w:pPr>
      <w:r w:rsidRPr="001707C0">
        <w:rPr>
          <w:rFonts w:ascii="Garamond" w:hAnsi="Garamond" w:cs="Calibri"/>
          <w:sz w:val="24"/>
          <w:szCs w:val="24"/>
          <w:lang w:val="en-US"/>
        </w:rPr>
        <w:t>Expressed in US dollars, external debt fell by USD 6.4 million at the end of May 2023, standing at USD 639.1 million compared to USD 645.5 million in the corresponding period of 2022.</w:t>
      </w:r>
    </w:p>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rsidR="00424709" w:rsidRPr="00DA0D95" w:rsidRDefault="00424709" w:rsidP="00424709">
      <w:pPr>
        <w:spacing w:line="360" w:lineRule="auto"/>
        <w:jc w:val="both"/>
        <w:rPr>
          <w:rFonts w:ascii="Garamond" w:hAnsi="Garamond" w:cs="Calibri"/>
          <w:color w:val="5B9BD5" w:themeColor="accent1"/>
          <w:lang w:val="en-US"/>
        </w:rPr>
      </w:pPr>
      <w:r w:rsidRPr="00DA0D95">
        <w:rPr>
          <w:rFonts w:ascii="Garamond" w:eastAsia="Times New Roman" w:hAnsi="Garamond" w:cs="Calibri"/>
          <w:b/>
          <w:bCs/>
          <w:color w:val="5B9BD5" w:themeColor="accent1"/>
          <w:lang w:val="en-US" w:eastAsia="fr-FR"/>
        </w:rPr>
        <w:t>VII. RESERVE MONEY, BROAD MONEY</w:t>
      </w:r>
      <w:r w:rsidRPr="00DA0D95">
        <w:rPr>
          <w:rFonts w:ascii="Garamond" w:eastAsia="Times New Roman" w:hAnsi="Garamond" w:cs="Calibri"/>
          <w:b/>
          <w:color w:val="5B9BD5" w:themeColor="accent1"/>
          <w:lang w:val="en-US" w:eastAsia="fr-FR"/>
        </w:rPr>
        <w:t xml:space="preserve">   AND ITS COUNTERPARTS</w:t>
      </w:r>
    </w:p>
    <w:p w:rsidR="0044783C" w:rsidRPr="001707C0" w:rsidRDefault="00F353F0" w:rsidP="004A0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Garamond" w:eastAsia="Times New Roman" w:hAnsi="Garamond" w:cs="Calibri"/>
          <w:color w:val="FF0000"/>
          <w:lang w:val="en-GB" w:eastAsia="fr-FR"/>
        </w:rPr>
      </w:pPr>
      <w:r w:rsidRPr="001707C0">
        <w:rPr>
          <w:rFonts w:ascii="Garamond" w:hAnsi="Garamond" w:cs="Calibri"/>
          <w:sz w:val="24"/>
          <w:szCs w:val="24"/>
          <w:lang w:val="en-US"/>
        </w:rPr>
        <w:t>On annual basis, growth in the monetary base and money supply has accelerated</w:t>
      </w:r>
      <w:r w:rsidRPr="001707C0">
        <w:rPr>
          <w:rFonts w:ascii="Garamond" w:eastAsia="Times New Roman" w:hAnsi="Garamond" w:cs="Calibri"/>
          <w:color w:val="FF0000"/>
          <w:lang w:val="en-GB" w:eastAsia="fr-FR"/>
        </w:rPr>
        <w:t xml:space="preserve"> </w:t>
      </w:r>
    </w:p>
    <w:p w:rsidR="00424709" w:rsidRPr="00DA0D95" w:rsidRDefault="00424709" w:rsidP="00424709">
      <w:pPr>
        <w:keepNext/>
        <w:widowControl w:val="0"/>
        <w:shd w:val="clear" w:color="auto" w:fill="FFFFFF"/>
        <w:autoSpaceDE w:val="0"/>
        <w:autoSpaceDN w:val="0"/>
        <w:adjustRightInd w:val="0"/>
        <w:spacing w:after="120" w:line="360" w:lineRule="auto"/>
        <w:jc w:val="both"/>
        <w:outlineLvl w:val="1"/>
        <w:rPr>
          <w:rFonts w:ascii="Garamond" w:eastAsia="Times New Roman" w:hAnsi="Garamond" w:cs="Calibri"/>
          <w:b/>
          <w:bCs/>
          <w:color w:val="5B9BD5" w:themeColor="accent1"/>
          <w:lang w:val="en-US" w:eastAsia="fr-FR"/>
        </w:rPr>
      </w:pPr>
      <w:r w:rsidRPr="00DA0D95">
        <w:rPr>
          <w:rFonts w:ascii="Garamond" w:eastAsia="Times New Roman" w:hAnsi="Garamond" w:cs="Calibri"/>
          <w:b/>
          <w:bCs/>
          <w:color w:val="5B9BD5" w:themeColor="accent1"/>
          <w:lang w:val="en-US" w:eastAsia="fr-FR"/>
        </w:rPr>
        <w:t>VII.1. Broad Money</w:t>
      </w:r>
    </w:p>
    <w:p w:rsidR="00F353F0" w:rsidRPr="001707C0" w:rsidRDefault="00F353F0" w:rsidP="00F353F0">
      <w:pPr>
        <w:keepNext/>
        <w:widowControl w:val="0"/>
        <w:autoSpaceDE w:val="0"/>
        <w:autoSpaceDN w:val="0"/>
        <w:adjustRightInd w:val="0"/>
        <w:spacing w:after="120" w:line="360" w:lineRule="auto"/>
        <w:jc w:val="both"/>
        <w:outlineLvl w:val="1"/>
        <w:rPr>
          <w:rFonts w:ascii="Garamond" w:hAnsi="Garamond" w:cs="Calibri"/>
          <w:sz w:val="24"/>
          <w:szCs w:val="24"/>
          <w:lang w:val="en-US"/>
        </w:rPr>
      </w:pPr>
      <w:bookmarkStart w:id="27" w:name="_Toc428948211"/>
      <w:r w:rsidRPr="001707C0">
        <w:rPr>
          <w:rFonts w:ascii="Garamond" w:hAnsi="Garamond" w:cs="Calibri"/>
          <w:sz w:val="24"/>
          <w:szCs w:val="24"/>
          <w:lang w:val="en-US"/>
        </w:rPr>
        <w:t>On Year over year basis, the monetary base increased by 39.8 percent at the end of May 2023 compared to 10.6 percent during the same period of the previous year, standing at</w:t>
      </w:r>
      <w:r w:rsidRPr="001707C0">
        <w:rPr>
          <w:rFonts w:ascii="Garamond" w:hAnsi="Garamond"/>
          <w:lang w:val="en-US"/>
        </w:rPr>
        <w:t xml:space="preserve"> </w:t>
      </w:r>
      <w:r w:rsidRPr="001707C0">
        <w:rPr>
          <w:rFonts w:ascii="Garamond" w:hAnsi="Garamond" w:cs="Calibri"/>
          <w:sz w:val="24"/>
          <w:szCs w:val="24"/>
          <w:lang w:val="en-US"/>
        </w:rPr>
        <w:t xml:space="preserve">BIF 1,187.062 billion compared to BIF 848.9 billion. This acceleration mainly concerned the increase in currency in circulation (BIF +134,021.0 million against BIF+47,014.3 </w:t>
      </w:r>
      <w:r w:rsidRPr="001707C0">
        <w:rPr>
          <w:rFonts w:ascii="Garamond" w:hAnsi="Garamond" w:cs="Calibri"/>
          <w:sz w:val="24"/>
          <w:szCs w:val="24"/>
          <w:lang w:val="en-US"/>
        </w:rPr>
        <w:lastRenderedPageBreak/>
        <w:t>million), deposits of public financial corporations (BIF +37,372.4 million against BIF -11,349, 0 million), deposits of other non-financial companies (BIF +35,286.7 million against BIF +4,593.9 million) and other deposits in foreign currencies (BIF +16,725.2 million against BIF -6,029.1 million).</w:t>
      </w:r>
    </w:p>
    <w:p w:rsidR="00CC62E6" w:rsidRPr="001707C0" w:rsidRDefault="00F353F0" w:rsidP="00F353F0">
      <w:pPr>
        <w:keepNext/>
        <w:widowControl w:val="0"/>
        <w:autoSpaceDE w:val="0"/>
        <w:autoSpaceDN w:val="0"/>
        <w:adjustRightInd w:val="0"/>
        <w:spacing w:after="120" w:line="360" w:lineRule="auto"/>
        <w:jc w:val="both"/>
        <w:outlineLvl w:val="1"/>
        <w:rPr>
          <w:rFonts w:ascii="Garamond" w:hAnsi="Garamond" w:cs="Calibri"/>
          <w:sz w:val="24"/>
          <w:szCs w:val="24"/>
          <w:lang w:val="en-US"/>
        </w:rPr>
      </w:pPr>
      <w:r w:rsidRPr="001707C0">
        <w:rPr>
          <w:rFonts w:ascii="Garamond" w:hAnsi="Garamond" w:cs="Calibri"/>
          <w:sz w:val="24"/>
          <w:szCs w:val="24"/>
          <w:lang w:val="en-US"/>
        </w:rPr>
        <w:t>On monthly basis, the monetary base increased by 4.8 percent in May 2023 compared to 11.1 percent a month before.</w:t>
      </w:r>
    </w:p>
    <w:p w:rsidR="00424709" w:rsidRPr="00DA0D95" w:rsidRDefault="00424709" w:rsidP="00A53E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Garamond" w:eastAsia="Times New Roman" w:hAnsi="Garamond" w:cs="Calibri"/>
          <w:b/>
          <w:bCs/>
          <w:color w:val="5B9BD5" w:themeColor="accent1"/>
          <w:lang w:val="en-US" w:eastAsia="fr-FR"/>
        </w:rPr>
      </w:pPr>
      <w:r w:rsidRPr="00DA0D95">
        <w:rPr>
          <w:rFonts w:ascii="Garamond" w:eastAsia="Times New Roman" w:hAnsi="Garamond" w:cs="Calibri"/>
          <w:b/>
          <w:bCs/>
          <w:color w:val="5B9BD5" w:themeColor="accent1"/>
          <w:lang w:val="en-US" w:eastAsia="fr-FR"/>
        </w:rPr>
        <w:t xml:space="preserve">VII.2. </w:t>
      </w:r>
      <w:bookmarkEnd w:id="27"/>
      <w:r w:rsidRPr="00DA0D95">
        <w:rPr>
          <w:rFonts w:ascii="Garamond" w:eastAsia="Times New Roman" w:hAnsi="Garamond" w:cs="Calibri"/>
          <w:b/>
          <w:bCs/>
          <w:color w:val="5B9BD5" w:themeColor="accent1"/>
          <w:lang w:val="en-US" w:eastAsia="fr-FR"/>
        </w:rPr>
        <w:t>Money supply</w:t>
      </w:r>
    </w:p>
    <w:p w:rsidR="00F353F0" w:rsidRPr="001707C0" w:rsidRDefault="00F353F0" w:rsidP="00F353F0">
      <w:pPr>
        <w:spacing w:after="120" w:line="360" w:lineRule="auto"/>
        <w:jc w:val="both"/>
        <w:rPr>
          <w:rFonts w:ascii="Garamond" w:hAnsi="Garamond" w:cs="Calibri"/>
          <w:sz w:val="24"/>
          <w:szCs w:val="24"/>
          <w:lang w:val="en-US"/>
        </w:rPr>
      </w:pPr>
      <w:bookmarkStart w:id="28" w:name="_Toc428948212"/>
      <w:r w:rsidRPr="001707C0">
        <w:rPr>
          <w:rFonts w:ascii="Garamond" w:hAnsi="Garamond" w:cs="Calibri"/>
          <w:sz w:val="24"/>
          <w:szCs w:val="24"/>
          <w:lang w:val="en-US"/>
        </w:rPr>
        <w:t>Year-on-year, the money supply (M3) increased by 31.9 percent at the end of May 2023, standing at BIF 4,796.0 billion, compared to growth of 24.3 percent at the same period of 2022. This acceleration concerned the increase in the monetary aggregate M2 (BIF +1,057,565.7 million against BIF+633,619.2 million) and in deposits of residents in foreign currency (BIF +101,362.2 million against BIF +76,950.5 million).</w:t>
      </w:r>
    </w:p>
    <w:p w:rsidR="00F353F0" w:rsidRPr="001707C0" w:rsidRDefault="00F353F0" w:rsidP="00F353F0">
      <w:pPr>
        <w:spacing w:after="120" w:line="360" w:lineRule="auto"/>
        <w:jc w:val="both"/>
        <w:rPr>
          <w:rFonts w:ascii="Garamond" w:hAnsi="Garamond" w:cs="Calibri"/>
          <w:sz w:val="24"/>
          <w:szCs w:val="24"/>
          <w:lang w:val="en-US"/>
        </w:rPr>
      </w:pPr>
      <w:r w:rsidRPr="001707C0">
        <w:rPr>
          <w:rFonts w:ascii="Garamond" w:hAnsi="Garamond" w:cs="Calibri"/>
          <w:sz w:val="24"/>
          <w:szCs w:val="24"/>
          <w:lang w:val="en-US"/>
        </w:rPr>
        <w:t>The increase in the monetary aggregate M2 concerned checkable deposits in BIF (36.0 percent), term and savings deposits (25.9 percent) and fiduciary circulation outside deposit institutions (BIF +26 .7 percent).</w:t>
      </w:r>
    </w:p>
    <w:p w:rsidR="00F353F0" w:rsidRPr="001707C0" w:rsidRDefault="00F353F0" w:rsidP="00F353F0">
      <w:pPr>
        <w:spacing w:after="120" w:line="360" w:lineRule="auto"/>
        <w:jc w:val="both"/>
        <w:rPr>
          <w:rFonts w:ascii="Garamond" w:hAnsi="Garamond" w:cs="Calibri"/>
          <w:sz w:val="24"/>
          <w:szCs w:val="24"/>
          <w:lang w:val="en-US"/>
        </w:rPr>
      </w:pPr>
      <w:r w:rsidRPr="001707C0">
        <w:rPr>
          <w:rFonts w:ascii="Garamond" w:hAnsi="Garamond" w:cs="Calibri"/>
          <w:sz w:val="24"/>
          <w:szCs w:val="24"/>
          <w:lang w:val="en-US"/>
        </w:rPr>
        <w:t xml:space="preserve">The growth of checkable deposits is mainly linked to that of public non-financial corporations (BIF +188,815.8 million against BIF -11,156.1 million), households (BIF 214,824.6 million against BIF 136,866.8 </w:t>
      </w:r>
      <w:r w:rsidRPr="001707C0">
        <w:rPr>
          <w:rFonts w:ascii="Garamond" w:hAnsi="Garamond" w:cs="Calibri"/>
          <w:sz w:val="24"/>
          <w:szCs w:val="24"/>
          <w:lang w:val="en-US"/>
        </w:rPr>
        <w:t>million), other non-financial companies (BIF + 185,633.3 million against BIF +153,376.1 million) and of local administrations (BIF 45,489.4 million against BIF 23,423.2 million).</w:t>
      </w:r>
    </w:p>
    <w:p w:rsidR="00F353F0" w:rsidRPr="001707C0" w:rsidRDefault="00F353F0" w:rsidP="00F353F0">
      <w:pPr>
        <w:spacing w:after="120" w:line="360" w:lineRule="auto"/>
        <w:jc w:val="both"/>
        <w:rPr>
          <w:rFonts w:ascii="Garamond" w:hAnsi="Garamond" w:cs="Calibri"/>
          <w:sz w:val="24"/>
          <w:szCs w:val="24"/>
          <w:lang w:val="en-US"/>
        </w:rPr>
      </w:pPr>
      <w:r w:rsidRPr="001707C0">
        <w:rPr>
          <w:rFonts w:ascii="Garamond" w:hAnsi="Garamond" w:cs="Calibri"/>
          <w:sz w:val="24"/>
          <w:szCs w:val="24"/>
          <w:lang w:val="en-US"/>
        </w:rPr>
        <w:t>The growth of term and savings deposits decelerated (25.9 percent against 34.7 percent) in line with the slowdown in the growth of household deposits (25.3 percent against 34.1 percent), other non-financial companies (31.7 percent versus 34.0 percent) and deposits classified in other accounts (12.6 percent versus 36.0 percent).</w:t>
      </w:r>
    </w:p>
    <w:p w:rsidR="00F353F0" w:rsidRPr="001707C0" w:rsidRDefault="00F353F0" w:rsidP="00F353F0">
      <w:pPr>
        <w:spacing w:after="120" w:line="360" w:lineRule="auto"/>
        <w:jc w:val="both"/>
        <w:rPr>
          <w:rFonts w:ascii="Garamond" w:hAnsi="Garamond" w:cs="Calibri"/>
          <w:sz w:val="24"/>
          <w:szCs w:val="24"/>
          <w:lang w:val="en-US"/>
        </w:rPr>
      </w:pPr>
      <w:r w:rsidRPr="001707C0">
        <w:rPr>
          <w:rFonts w:ascii="Garamond" w:hAnsi="Garamond" w:cs="Calibri"/>
          <w:sz w:val="24"/>
          <w:szCs w:val="24"/>
          <w:lang w:val="en-US"/>
        </w:rPr>
        <w:t>The acceleration in residents' foreign currency deposits was driven by the increase in deposits of other non-financial corporations (81.5 percent against 35.0 percent) and deposits classified in other accounts (60.0 percent against -17.5 percent), while the growth of household deposits decelerated (10.3 percent against 55.0 percent).</w:t>
      </w:r>
    </w:p>
    <w:p w:rsidR="00F353F0" w:rsidRPr="001707C0" w:rsidRDefault="00F353F0" w:rsidP="00F353F0">
      <w:pPr>
        <w:spacing w:after="120" w:line="360" w:lineRule="auto"/>
        <w:jc w:val="both"/>
        <w:rPr>
          <w:rFonts w:ascii="Garamond" w:hAnsi="Garamond" w:cs="Calibri"/>
          <w:sz w:val="24"/>
          <w:szCs w:val="24"/>
          <w:lang w:val="en-US"/>
        </w:rPr>
      </w:pPr>
      <w:r w:rsidRPr="001707C0">
        <w:rPr>
          <w:rFonts w:ascii="Garamond" w:hAnsi="Garamond" w:cs="Calibri"/>
          <w:sz w:val="24"/>
          <w:szCs w:val="24"/>
          <w:lang w:val="en-US"/>
        </w:rPr>
        <w:t>On monthly basis, the monetary aggregate M3 increased by 1.4 percent in May 2023 compared to an increase of 2.3 percent in April 2023.</w:t>
      </w:r>
    </w:p>
    <w:p w:rsidR="00424709" w:rsidRPr="00DA0D95" w:rsidRDefault="00424709" w:rsidP="00424709">
      <w:pPr>
        <w:keepNext/>
        <w:widowControl w:val="0"/>
        <w:shd w:val="clear" w:color="auto" w:fill="FFFFFF"/>
        <w:autoSpaceDE w:val="0"/>
        <w:autoSpaceDN w:val="0"/>
        <w:adjustRightInd w:val="0"/>
        <w:spacing w:after="120" w:line="360" w:lineRule="auto"/>
        <w:jc w:val="both"/>
        <w:outlineLvl w:val="1"/>
        <w:rPr>
          <w:rFonts w:ascii="Garamond" w:eastAsia="Times New Roman" w:hAnsi="Garamond" w:cs="Calibri"/>
          <w:b/>
          <w:bCs/>
          <w:color w:val="5B9BD5" w:themeColor="accent1"/>
          <w:lang w:val="en-US" w:eastAsia="fr-FR"/>
        </w:rPr>
      </w:pPr>
      <w:r w:rsidRPr="00DA0D95">
        <w:rPr>
          <w:rFonts w:ascii="Garamond" w:eastAsia="Times New Roman" w:hAnsi="Garamond" w:cs="Calibri"/>
          <w:b/>
          <w:bCs/>
          <w:color w:val="5B9BD5" w:themeColor="accent1"/>
          <w:lang w:val="en-US" w:eastAsia="fr-FR"/>
        </w:rPr>
        <w:t>VII.3. Counterparts</w:t>
      </w:r>
      <w:bookmarkEnd w:id="28"/>
    </w:p>
    <w:p w:rsidR="00F353F0" w:rsidRPr="001707C0" w:rsidRDefault="00F353F0" w:rsidP="00F353F0">
      <w:pPr>
        <w:spacing w:after="120" w:line="360" w:lineRule="auto"/>
        <w:jc w:val="both"/>
        <w:rPr>
          <w:rFonts w:ascii="Garamond" w:hAnsi="Garamond" w:cs="Calibri"/>
          <w:sz w:val="24"/>
          <w:szCs w:val="24"/>
          <w:lang w:val="en-US"/>
        </w:rPr>
      </w:pPr>
      <w:r w:rsidRPr="001707C0">
        <w:rPr>
          <w:rFonts w:ascii="Garamond" w:hAnsi="Garamond" w:cs="Calibri"/>
          <w:sz w:val="24"/>
          <w:szCs w:val="24"/>
          <w:lang w:val="en-US"/>
        </w:rPr>
        <w:t xml:space="preserve">Year-on-year, domestic credit increased by 37.3 percent at the end of May 2023 compared to 26.0 percent in the same period of the previous year, standing at BIF 6,384.5 billion. This acceleration in domestic credit growth is due to the increase in net claims on </w:t>
      </w:r>
      <w:r w:rsidRPr="001707C0">
        <w:rPr>
          <w:rFonts w:ascii="Garamond" w:hAnsi="Garamond" w:cs="Calibri"/>
          <w:sz w:val="24"/>
          <w:szCs w:val="24"/>
          <w:lang w:val="en-US"/>
        </w:rPr>
        <w:lastRenderedPageBreak/>
        <w:t>the central administration (39.3 percent against -6.5 percent) in connection with the chemical fertilizer subsidy agreements and the rescheduling of advances. Claims on the economy have, for their part, decelerated (35.9 percent against 66.3 percent).</w:t>
      </w:r>
    </w:p>
    <w:p w:rsidR="00F353F0" w:rsidRPr="001707C0" w:rsidRDefault="00F353F0" w:rsidP="00F353F0">
      <w:pPr>
        <w:spacing w:after="120" w:line="360" w:lineRule="auto"/>
        <w:jc w:val="both"/>
        <w:rPr>
          <w:rFonts w:ascii="Garamond" w:hAnsi="Garamond" w:cs="Calibri"/>
          <w:sz w:val="24"/>
          <w:szCs w:val="24"/>
          <w:lang w:val="en-US"/>
        </w:rPr>
      </w:pPr>
      <w:r w:rsidRPr="001707C0">
        <w:rPr>
          <w:rFonts w:ascii="Garamond" w:hAnsi="Garamond" w:cs="Calibri"/>
          <w:sz w:val="24"/>
          <w:szCs w:val="24"/>
          <w:lang w:val="en-US"/>
        </w:rPr>
        <w:t>On annual basis, net foreign assets deteriorated by BIF 788,193.4 million at the end of May 2023 compared to an improvement of BIF 23,419.4 million recorded in the same period of 2022. This deterioration is mainly driven by the drop in gross foreign assets (BIF -403,384.6 million) combined with the increase in external commitments (BIF +384,808.8 million). Thus, net international reserves fell by BIF 393,169.2 million when they had increased at the end of May 2022 (BIF+379,700.7 million).</w:t>
      </w:r>
    </w:p>
    <w:p w:rsidR="00F353F0" w:rsidRPr="001707C0" w:rsidRDefault="00F353F0" w:rsidP="001872C0">
      <w:pPr>
        <w:spacing w:after="240" w:line="360" w:lineRule="auto"/>
        <w:jc w:val="both"/>
        <w:rPr>
          <w:rFonts w:ascii="Garamond" w:hAnsi="Garamond" w:cs="Calibri"/>
          <w:sz w:val="24"/>
          <w:szCs w:val="24"/>
          <w:lang w:val="en-US"/>
        </w:rPr>
      </w:pPr>
      <w:r w:rsidRPr="001707C0">
        <w:rPr>
          <w:rFonts w:ascii="Garamond" w:hAnsi="Garamond" w:cs="Calibri"/>
          <w:sz w:val="24"/>
          <w:szCs w:val="24"/>
          <w:lang w:val="en-US"/>
        </w:rPr>
        <w:t>In terms of months of imports, these reserves covered 0.4 months of imports of goods and services compared to 2.1 months of imports in May 2022.</w:t>
      </w:r>
    </w:p>
    <w:p w:rsidR="00424709" w:rsidRPr="00DA0D95" w:rsidRDefault="00424709" w:rsidP="00424709">
      <w:pPr>
        <w:keepNext/>
        <w:widowControl w:val="0"/>
        <w:shd w:val="clear" w:color="auto" w:fill="FFFFFF"/>
        <w:autoSpaceDE w:val="0"/>
        <w:autoSpaceDN w:val="0"/>
        <w:adjustRightInd w:val="0"/>
        <w:spacing w:after="120" w:line="360" w:lineRule="auto"/>
        <w:jc w:val="both"/>
        <w:outlineLvl w:val="1"/>
        <w:rPr>
          <w:rFonts w:ascii="Garamond" w:eastAsia="Times New Roman" w:hAnsi="Garamond" w:cs="Calibri"/>
          <w:b/>
          <w:bCs/>
          <w:color w:val="5B9BD5" w:themeColor="accent1"/>
          <w:lang w:val="en-US" w:eastAsia="fr-FR"/>
        </w:rPr>
      </w:pPr>
      <w:r w:rsidRPr="00DA0D95">
        <w:rPr>
          <w:rFonts w:ascii="Garamond" w:eastAsia="Times New Roman" w:hAnsi="Garamond" w:cs="Calibri"/>
          <w:b/>
          <w:bCs/>
          <w:color w:val="5B9BD5" w:themeColor="accent1"/>
          <w:lang w:val="en-US" w:eastAsia="fr-FR"/>
        </w:rPr>
        <w:t>VIII. MAIN INDICATORS OF BANKING SECTOR</w:t>
      </w:r>
    </w:p>
    <w:p w:rsidR="00F353F0" w:rsidRPr="001872C0" w:rsidRDefault="00F353F0" w:rsidP="001872C0">
      <w:pPr>
        <w:spacing w:after="240" w:line="360" w:lineRule="auto"/>
        <w:jc w:val="both"/>
        <w:rPr>
          <w:rFonts w:ascii="Garamond" w:hAnsi="Garamond" w:cs="Calibri"/>
          <w:sz w:val="24"/>
          <w:szCs w:val="24"/>
          <w:lang w:val="en-US"/>
        </w:rPr>
      </w:pPr>
      <w:r w:rsidRPr="001707C0">
        <w:rPr>
          <w:rFonts w:ascii="Garamond" w:eastAsia="Times New Roman" w:hAnsi="Garamond"/>
          <w:sz w:val="24"/>
          <w:szCs w:val="24"/>
          <w:lang w:val="en-US" w:eastAsia="fr-FR"/>
        </w:rPr>
        <w:t xml:space="preserve">Banking sector activity improved at the end of May 2023, in line with the increase in credit to the economy on the asset side, the increase in customer deposits and interbank </w:t>
      </w:r>
      <w:r w:rsidRPr="001872C0">
        <w:rPr>
          <w:rFonts w:ascii="Garamond" w:hAnsi="Garamond" w:cs="Calibri"/>
          <w:sz w:val="24"/>
          <w:szCs w:val="24"/>
          <w:lang w:val="en-US"/>
        </w:rPr>
        <w:t xml:space="preserve">operations on the liabilities side. </w:t>
      </w:r>
    </w:p>
    <w:p w:rsidR="00424709" w:rsidRPr="001872C0" w:rsidRDefault="00424709" w:rsidP="001872C0">
      <w:pPr>
        <w:spacing w:after="240" w:line="360" w:lineRule="auto"/>
        <w:jc w:val="both"/>
        <w:rPr>
          <w:rFonts w:ascii="Garamond" w:eastAsia="Times New Roman" w:hAnsi="Garamond" w:cs="Calibri"/>
          <w:b/>
          <w:bCs/>
          <w:color w:val="5B9BD5" w:themeColor="accent1"/>
          <w:lang w:val="en-US" w:eastAsia="fr-FR"/>
        </w:rPr>
      </w:pPr>
      <w:r w:rsidRPr="001872C0">
        <w:rPr>
          <w:rFonts w:ascii="Garamond" w:eastAsia="Times New Roman" w:hAnsi="Garamond" w:cs="Calibri"/>
          <w:b/>
          <w:bCs/>
          <w:color w:val="5B9BD5" w:themeColor="accent1"/>
          <w:lang w:val="en-US" w:eastAsia="fr-FR"/>
        </w:rPr>
        <w:t xml:space="preserve">VIII.1. Assets </w:t>
      </w:r>
    </w:p>
    <w:p w:rsidR="00F353F0" w:rsidRPr="001707C0" w:rsidRDefault="00F353F0" w:rsidP="001872C0">
      <w:pPr>
        <w:spacing w:after="240" w:line="360" w:lineRule="auto"/>
        <w:jc w:val="both"/>
        <w:rPr>
          <w:rFonts w:ascii="Garamond" w:eastAsia="Times New Roman" w:hAnsi="Garamond"/>
          <w:sz w:val="24"/>
          <w:szCs w:val="24"/>
          <w:lang w:val="en-US" w:eastAsia="fr-FR"/>
        </w:rPr>
      </w:pPr>
      <w:r w:rsidRPr="001872C0">
        <w:rPr>
          <w:rFonts w:ascii="Garamond" w:hAnsi="Garamond" w:cs="Calibri"/>
          <w:sz w:val="24"/>
          <w:szCs w:val="24"/>
          <w:lang w:val="en-US"/>
        </w:rPr>
        <w:t>Banking sector assets grew by 28.0 percent</w:t>
      </w:r>
      <w:r w:rsidRPr="001707C0">
        <w:rPr>
          <w:rFonts w:ascii="Garamond" w:eastAsia="Times New Roman" w:hAnsi="Garamond"/>
          <w:sz w:val="24"/>
          <w:szCs w:val="24"/>
          <w:lang w:val="en-US" w:eastAsia="fr-FR"/>
        </w:rPr>
        <w:t xml:space="preserve"> year-on-year. It stood at BIF 7,018.9 billion at the end of May 2023 against BIF 5,483.3 billion at the end of May 2022. This increase results from the fact that credits allocated to the economy increased by 39.1 percent (3,195 .8 against BIF 2,297.0 billion). Similarly, loans granted to Government grew by 12.5 percent, settling at BIF 2,017.7 billion against BIF 1,793.2 billion.</w:t>
      </w:r>
    </w:p>
    <w:p w:rsidR="00F353F0" w:rsidRPr="001707C0" w:rsidRDefault="00F353F0" w:rsidP="001E3E0D">
      <w:pPr>
        <w:keepNext/>
        <w:widowControl w:val="0"/>
        <w:autoSpaceDE w:val="0"/>
        <w:autoSpaceDN w:val="0"/>
        <w:adjustRightInd w:val="0"/>
        <w:spacing w:line="360" w:lineRule="auto"/>
        <w:contextualSpacing/>
        <w:jc w:val="both"/>
        <w:outlineLvl w:val="0"/>
        <w:rPr>
          <w:rFonts w:ascii="Garamond" w:eastAsia="Times New Roman" w:hAnsi="Garamond"/>
          <w:sz w:val="24"/>
          <w:szCs w:val="24"/>
          <w:lang w:val="en-US" w:eastAsia="fr-FR"/>
        </w:rPr>
      </w:pPr>
      <w:r w:rsidRPr="001707C0">
        <w:rPr>
          <w:rFonts w:ascii="Garamond" w:eastAsia="Times New Roman" w:hAnsi="Garamond"/>
          <w:sz w:val="24"/>
          <w:szCs w:val="24"/>
          <w:lang w:val="en-US" w:eastAsia="fr-FR"/>
        </w:rPr>
        <w:t>The share of credit to the economy increased by 3.7 percentage points, reaching 45.5 percent of banking sector assets in May 2023 against 41.8 percent in May 2022. The loans share as Government commitment stood at 28.7 against 32.7 percent, stating a decline of 3.9 percentage points.</w:t>
      </w:r>
    </w:p>
    <w:p w:rsidR="00787329" w:rsidRPr="001707C0" w:rsidRDefault="00787329" w:rsidP="00787329">
      <w:pPr>
        <w:keepNext/>
        <w:widowControl w:val="0"/>
        <w:autoSpaceDE w:val="0"/>
        <w:autoSpaceDN w:val="0"/>
        <w:adjustRightInd w:val="0"/>
        <w:spacing w:line="360" w:lineRule="auto"/>
        <w:contextualSpacing/>
        <w:jc w:val="both"/>
        <w:outlineLvl w:val="0"/>
        <w:rPr>
          <w:rFonts w:ascii="Garamond" w:eastAsia="Times New Roman" w:hAnsi="Garamond" w:cs="Calibri"/>
          <w:color w:val="FF0000"/>
          <w:lang w:val="en-US" w:eastAsia="fr-FR"/>
        </w:rPr>
      </w:pPr>
    </w:p>
    <w:p w:rsidR="00424709" w:rsidRPr="001E3E0D" w:rsidRDefault="00424709" w:rsidP="00C70E34">
      <w:pPr>
        <w:spacing w:after="120" w:line="360" w:lineRule="auto"/>
        <w:jc w:val="both"/>
        <w:rPr>
          <w:rFonts w:ascii="Garamond" w:eastAsia="Times New Roman" w:hAnsi="Garamond" w:cs="Calibri"/>
          <w:b/>
          <w:bCs/>
          <w:color w:val="5B9BD5" w:themeColor="accent1"/>
          <w:lang w:val="en-US" w:eastAsia="fr-FR"/>
        </w:rPr>
      </w:pPr>
      <w:r w:rsidRPr="001E3E0D">
        <w:rPr>
          <w:rFonts w:ascii="Garamond" w:eastAsia="Times New Roman" w:hAnsi="Garamond" w:cs="Calibri"/>
          <w:b/>
          <w:bCs/>
          <w:color w:val="5B9BD5" w:themeColor="accent1"/>
          <w:lang w:val="en-US" w:eastAsia="fr-FR"/>
        </w:rPr>
        <w:t>VIII.2. Liabilities</w:t>
      </w:r>
    </w:p>
    <w:p w:rsidR="00F353F0" w:rsidRPr="001707C0" w:rsidRDefault="00F353F0" w:rsidP="001E3E0D">
      <w:pPr>
        <w:spacing w:line="360" w:lineRule="auto"/>
        <w:contextualSpacing/>
        <w:jc w:val="both"/>
        <w:rPr>
          <w:rFonts w:ascii="Garamond" w:eastAsia="Times New Roman" w:hAnsi="Garamond"/>
          <w:sz w:val="24"/>
          <w:szCs w:val="24"/>
          <w:lang w:val="en-US" w:eastAsia="fr-FR"/>
        </w:rPr>
      </w:pPr>
      <w:r w:rsidRPr="001707C0">
        <w:rPr>
          <w:rFonts w:ascii="Garamond" w:eastAsia="Times New Roman" w:hAnsi="Garamond"/>
          <w:sz w:val="24"/>
          <w:szCs w:val="24"/>
          <w:lang w:val="en-US" w:eastAsia="fr-FR"/>
        </w:rPr>
        <w:t xml:space="preserve">The customer deposits increased by </w:t>
      </w:r>
      <w:r w:rsidRPr="001707C0">
        <w:rPr>
          <w:rFonts w:ascii="Garamond" w:hAnsi="Garamond"/>
          <w:sz w:val="24"/>
          <w:lang w:val="en-US"/>
        </w:rPr>
        <w:t xml:space="preserve">27.2 percent </w:t>
      </w:r>
      <w:r w:rsidRPr="001707C0">
        <w:rPr>
          <w:rFonts w:ascii="Garamond" w:eastAsia="Times New Roman" w:hAnsi="Garamond"/>
          <w:sz w:val="24"/>
          <w:szCs w:val="24"/>
          <w:lang w:val="en-US" w:eastAsia="fr-FR"/>
        </w:rPr>
        <w:t xml:space="preserve">year-on-year, rising to BIF </w:t>
      </w:r>
      <w:r w:rsidRPr="001707C0">
        <w:rPr>
          <w:rFonts w:ascii="Garamond" w:hAnsi="Garamond"/>
          <w:sz w:val="24"/>
          <w:lang w:val="en-US"/>
        </w:rPr>
        <w:t xml:space="preserve">4,109.7 </w:t>
      </w:r>
      <w:r w:rsidRPr="001707C0">
        <w:rPr>
          <w:rFonts w:ascii="Garamond" w:eastAsia="Times New Roman" w:hAnsi="Garamond"/>
          <w:sz w:val="24"/>
          <w:szCs w:val="24"/>
          <w:lang w:val="en-US" w:eastAsia="fr-FR"/>
        </w:rPr>
        <w:t xml:space="preserve">billion in May 2023 against BIF </w:t>
      </w:r>
      <w:r w:rsidRPr="001707C0">
        <w:rPr>
          <w:rFonts w:ascii="Garamond" w:hAnsi="Garamond"/>
          <w:sz w:val="24"/>
          <w:lang w:val="en-US"/>
        </w:rPr>
        <w:t>3,229.9</w:t>
      </w:r>
      <w:r w:rsidRPr="001707C0">
        <w:rPr>
          <w:rFonts w:ascii="Garamond" w:eastAsia="Times New Roman" w:hAnsi="Garamond"/>
          <w:sz w:val="24"/>
          <w:szCs w:val="24"/>
          <w:lang w:val="en-US" w:eastAsia="fr-FR"/>
        </w:rPr>
        <w:t xml:space="preserve"> billion in the same month of 2022. Similarly, Central Bank refinancing increased by </w:t>
      </w:r>
      <w:r w:rsidRPr="001707C0">
        <w:rPr>
          <w:rFonts w:ascii="Garamond" w:hAnsi="Garamond"/>
          <w:sz w:val="24"/>
          <w:lang w:val="en-US"/>
        </w:rPr>
        <w:t>24.9 percent</w:t>
      </w:r>
      <w:r w:rsidRPr="001707C0">
        <w:rPr>
          <w:rFonts w:ascii="Garamond" w:eastAsia="Times New Roman" w:hAnsi="Garamond"/>
          <w:sz w:val="24"/>
          <w:szCs w:val="24"/>
          <w:lang w:val="en-US" w:eastAsia="fr-FR"/>
        </w:rPr>
        <w:t xml:space="preserve">, standing at BIF </w:t>
      </w:r>
      <w:r w:rsidRPr="001707C0">
        <w:rPr>
          <w:rFonts w:ascii="Garamond" w:hAnsi="Garamond"/>
          <w:sz w:val="24"/>
          <w:lang w:val="en-US"/>
        </w:rPr>
        <w:t xml:space="preserve">597.3 </w:t>
      </w:r>
      <w:r w:rsidRPr="001707C0">
        <w:rPr>
          <w:rFonts w:ascii="Garamond" w:eastAsia="Times New Roman" w:hAnsi="Garamond"/>
          <w:sz w:val="24"/>
          <w:szCs w:val="24"/>
          <w:lang w:val="en-US" w:eastAsia="fr-FR"/>
        </w:rPr>
        <w:t xml:space="preserve">billion against </w:t>
      </w:r>
      <w:r w:rsidRPr="001707C0">
        <w:rPr>
          <w:rFonts w:ascii="Garamond" w:hAnsi="Garamond"/>
          <w:sz w:val="24"/>
          <w:lang w:val="en-US"/>
        </w:rPr>
        <w:t>478.1</w:t>
      </w:r>
      <w:r w:rsidRPr="001707C0">
        <w:rPr>
          <w:rFonts w:ascii="Garamond" w:eastAsia="Times New Roman" w:hAnsi="Garamond"/>
          <w:sz w:val="24"/>
          <w:szCs w:val="24"/>
          <w:lang w:val="en-US" w:eastAsia="fr-FR"/>
        </w:rPr>
        <w:t xml:space="preserve"> billion at the end of May 2022. In addition, interbank operations increased by </w:t>
      </w:r>
      <w:r w:rsidRPr="001707C0">
        <w:rPr>
          <w:rFonts w:ascii="Garamond" w:hAnsi="Garamond"/>
          <w:sz w:val="24"/>
          <w:lang w:val="en-US"/>
        </w:rPr>
        <w:t>52.8 percent</w:t>
      </w:r>
      <w:r w:rsidRPr="001707C0">
        <w:rPr>
          <w:rFonts w:ascii="Garamond" w:eastAsia="Times New Roman" w:hAnsi="Garamond"/>
          <w:sz w:val="24"/>
          <w:szCs w:val="24"/>
          <w:lang w:val="en-US" w:eastAsia="fr-FR"/>
        </w:rPr>
        <w:t xml:space="preserve"> </w:t>
      </w:r>
      <w:r w:rsidRPr="001707C0">
        <w:rPr>
          <w:rFonts w:ascii="Garamond" w:hAnsi="Garamond"/>
          <w:sz w:val="24"/>
          <w:lang w:val="en-US"/>
        </w:rPr>
        <w:t>reaching BIF 870.1 billion at the end of May 2023 against BIF 569.3 billion at the end of May 2022.</w:t>
      </w:r>
    </w:p>
    <w:p w:rsidR="00F353F0" w:rsidRPr="001707C0" w:rsidRDefault="00F353F0" w:rsidP="001E3E0D">
      <w:pPr>
        <w:keepNext/>
        <w:widowControl w:val="0"/>
        <w:autoSpaceDE w:val="0"/>
        <w:autoSpaceDN w:val="0"/>
        <w:adjustRightInd w:val="0"/>
        <w:spacing w:after="0" w:line="360" w:lineRule="auto"/>
        <w:contextualSpacing/>
        <w:jc w:val="both"/>
        <w:outlineLvl w:val="0"/>
        <w:rPr>
          <w:rFonts w:ascii="Garamond" w:eastAsia="Times New Roman" w:hAnsi="Garamond"/>
          <w:sz w:val="24"/>
          <w:szCs w:val="24"/>
          <w:lang w:val="en-US" w:eastAsia="fr-FR"/>
        </w:rPr>
      </w:pPr>
      <w:r w:rsidRPr="001707C0">
        <w:rPr>
          <w:rFonts w:ascii="Garamond" w:eastAsia="Times New Roman" w:hAnsi="Garamond"/>
          <w:sz w:val="24"/>
          <w:szCs w:val="24"/>
          <w:lang w:val="en-US" w:eastAsia="fr-FR"/>
        </w:rPr>
        <w:t xml:space="preserve">Deposits as a share in sector liabilities fell by 0.3 percentage point to reach </w:t>
      </w:r>
      <w:r w:rsidRPr="001707C0">
        <w:rPr>
          <w:rFonts w:ascii="Garamond" w:hAnsi="Garamond"/>
          <w:sz w:val="24"/>
          <w:lang w:val="en-US"/>
        </w:rPr>
        <w:t>58.6 percent</w:t>
      </w:r>
      <w:r w:rsidRPr="001707C0">
        <w:rPr>
          <w:rFonts w:ascii="Garamond" w:eastAsia="Times New Roman" w:hAnsi="Garamond"/>
          <w:sz w:val="24"/>
          <w:szCs w:val="24"/>
          <w:lang w:val="en-US" w:eastAsia="fr-FR"/>
        </w:rPr>
        <w:t xml:space="preserve"> for May 2023 from </w:t>
      </w:r>
      <w:r w:rsidRPr="001707C0">
        <w:rPr>
          <w:rFonts w:ascii="Garamond" w:hAnsi="Garamond"/>
          <w:sz w:val="24"/>
          <w:lang w:val="en-US"/>
        </w:rPr>
        <w:t xml:space="preserve">58.9 percent </w:t>
      </w:r>
      <w:r w:rsidRPr="001707C0">
        <w:rPr>
          <w:rFonts w:ascii="Garamond" w:eastAsia="Times New Roman" w:hAnsi="Garamond"/>
          <w:sz w:val="24"/>
          <w:szCs w:val="24"/>
          <w:lang w:val="en-US" w:eastAsia="fr-FR"/>
        </w:rPr>
        <w:t xml:space="preserve">at the end of </w:t>
      </w:r>
      <w:r w:rsidRPr="001707C0">
        <w:rPr>
          <w:rFonts w:ascii="Garamond" w:eastAsia="Times New Roman" w:hAnsi="Garamond"/>
          <w:sz w:val="24"/>
          <w:szCs w:val="24"/>
          <w:lang w:val="en-US" w:eastAsia="fr-FR"/>
        </w:rPr>
        <w:lastRenderedPageBreak/>
        <w:t xml:space="preserve">May 2022. </w:t>
      </w:r>
    </w:p>
    <w:p w:rsidR="00F353F0" w:rsidRPr="001707C0" w:rsidRDefault="00F353F0" w:rsidP="001E3E0D">
      <w:pPr>
        <w:keepNext/>
        <w:widowControl w:val="0"/>
        <w:autoSpaceDE w:val="0"/>
        <w:autoSpaceDN w:val="0"/>
        <w:adjustRightInd w:val="0"/>
        <w:spacing w:after="0" w:line="360" w:lineRule="auto"/>
        <w:contextualSpacing/>
        <w:jc w:val="both"/>
        <w:outlineLvl w:val="0"/>
        <w:rPr>
          <w:rFonts w:ascii="Garamond" w:eastAsia="Times New Roman" w:hAnsi="Garamond"/>
          <w:sz w:val="24"/>
          <w:szCs w:val="24"/>
          <w:lang w:val="en-US" w:eastAsia="fr-FR"/>
        </w:rPr>
      </w:pPr>
      <w:r w:rsidRPr="001707C0">
        <w:rPr>
          <w:rFonts w:ascii="Garamond" w:eastAsia="Times New Roman" w:hAnsi="Garamond"/>
          <w:sz w:val="24"/>
          <w:szCs w:val="24"/>
          <w:lang w:val="en-US" w:eastAsia="fr-FR"/>
        </w:rPr>
        <w:t>Moreover, the share of Central bank refinancing decreased slightly by 0.2 percentage points reaching 8.5 percent at the end of May 2023 from 8.7 percent for May 2022.</w:t>
      </w:r>
    </w:p>
    <w:p w:rsidR="00F353F0" w:rsidRPr="006D03E8" w:rsidRDefault="00F353F0" w:rsidP="006D03E8">
      <w:pPr>
        <w:spacing w:after="240" w:line="360" w:lineRule="auto"/>
        <w:jc w:val="both"/>
        <w:rPr>
          <w:rFonts w:ascii="Garamond" w:hAnsi="Garamond" w:cs="Calibri"/>
          <w:sz w:val="24"/>
          <w:szCs w:val="24"/>
          <w:lang w:val="en-US"/>
        </w:rPr>
      </w:pPr>
      <w:r w:rsidRPr="001707C0">
        <w:rPr>
          <w:rFonts w:ascii="Garamond" w:eastAsia="Times New Roman" w:hAnsi="Garamond"/>
          <w:sz w:val="24"/>
          <w:szCs w:val="24"/>
          <w:lang w:val="en-US" w:eastAsia="fr-FR"/>
        </w:rPr>
        <w:t xml:space="preserve">However, the share of inter-banks loans rose of 2.0 percentage points, stepping from 10.4 percent at the end of May 2022 to 12.4 </w:t>
      </w:r>
      <w:r w:rsidRPr="006D03E8">
        <w:rPr>
          <w:rFonts w:ascii="Garamond" w:hAnsi="Garamond" w:cs="Calibri"/>
          <w:sz w:val="24"/>
          <w:szCs w:val="24"/>
          <w:lang w:val="en-US"/>
        </w:rPr>
        <w:t xml:space="preserve">percent at the end of May 2023. </w:t>
      </w:r>
    </w:p>
    <w:p w:rsidR="00424709" w:rsidRPr="006D03E8" w:rsidRDefault="00424709" w:rsidP="006D03E8">
      <w:pPr>
        <w:spacing w:after="240" w:line="360" w:lineRule="auto"/>
        <w:jc w:val="both"/>
        <w:rPr>
          <w:rFonts w:ascii="Garamond" w:eastAsia="Times New Roman" w:hAnsi="Garamond" w:cs="Calibri"/>
          <w:b/>
          <w:bCs/>
          <w:color w:val="5B9BD5" w:themeColor="accent1"/>
          <w:lang w:val="en-US" w:eastAsia="fr-FR"/>
        </w:rPr>
      </w:pPr>
      <w:r w:rsidRPr="006D03E8">
        <w:rPr>
          <w:rFonts w:ascii="Garamond" w:eastAsia="Times New Roman" w:hAnsi="Garamond" w:cs="Calibri"/>
          <w:b/>
          <w:bCs/>
          <w:color w:val="5B9BD5" w:themeColor="accent1"/>
          <w:lang w:val="en-US" w:eastAsia="fr-FR"/>
        </w:rPr>
        <w:t xml:space="preserve">IX. KEY FINANCIAL SOUNDNESS INDICATORS </w:t>
      </w:r>
    </w:p>
    <w:p w:rsidR="00F353F0" w:rsidRPr="001707C0" w:rsidRDefault="00F353F0" w:rsidP="006D03E8">
      <w:pPr>
        <w:spacing w:after="240" w:line="360" w:lineRule="auto"/>
        <w:jc w:val="both"/>
        <w:rPr>
          <w:rFonts w:ascii="Garamond" w:eastAsia="Times New Roman" w:hAnsi="Garamond"/>
          <w:sz w:val="24"/>
          <w:szCs w:val="24"/>
          <w:lang w:val="en-US" w:eastAsia="fr-FR"/>
        </w:rPr>
      </w:pPr>
      <w:bookmarkStart w:id="29" w:name="_Toc462207050"/>
      <w:r w:rsidRPr="006D03E8">
        <w:rPr>
          <w:rFonts w:ascii="Garamond" w:hAnsi="Garamond" w:cs="Calibri"/>
          <w:sz w:val="24"/>
          <w:szCs w:val="24"/>
          <w:lang w:val="en-US"/>
        </w:rPr>
        <w:t>At the end of May 2023, the equity of the</w:t>
      </w:r>
      <w:r w:rsidRPr="001707C0">
        <w:rPr>
          <w:rFonts w:ascii="Garamond" w:eastAsia="Times New Roman" w:hAnsi="Garamond"/>
          <w:sz w:val="24"/>
          <w:szCs w:val="24"/>
          <w:lang w:val="en-US" w:eastAsia="fr-FR"/>
        </w:rPr>
        <w:t xml:space="preserve"> banking sector increased compared to the corresponding period of 2022. However, the solvency and profitability ratios deteriorated.</w:t>
      </w:r>
    </w:p>
    <w:p w:rsidR="00424709" w:rsidRPr="001E3E0D" w:rsidRDefault="00424709" w:rsidP="00C93D9D">
      <w:pPr>
        <w:spacing w:line="360" w:lineRule="auto"/>
        <w:jc w:val="both"/>
        <w:rPr>
          <w:rFonts w:ascii="Garamond" w:eastAsia="Times New Roman" w:hAnsi="Garamond" w:cs="Calibri"/>
          <w:b/>
          <w:bCs/>
          <w:color w:val="5B9BD5" w:themeColor="accent1"/>
          <w:lang w:val="en-US" w:eastAsia="fr-FR"/>
        </w:rPr>
      </w:pPr>
      <w:r w:rsidRPr="001E3E0D">
        <w:rPr>
          <w:rFonts w:ascii="Garamond" w:eastAsia="Times New Roman" w:hAnsi="Garamond" w:cs="Calibri"/>
          <w:b/>
          <w:bCs/>
          <w:color w:val="5B9BD5" w:themeColor="accent1"/>
          <w:lang w:val="en-US" w:eastAsia="fr-FR"/>
        </w:rPr>
        <w:t>IX.1. Capital Adequacy</w:t>
      </w:r>
      <w:bookmarkEnd w:id="29"/>
      <w:r w:rsidRPr="001E3E0D">
        <w:rPr>
          <w:rFonts w:ascii="Garamond" w:eastAsia="Times New Roman" w:hAnsi="Garamond" w:cs="Calibri"/>
          <w:b/>
          <w:bCs/>
          <w:color w:val="5B9BD5" w:themeColor="accent1"/>
          <w:lang w:val="en-US" w:eastAsia="fr-FR"/>
        </w:rPr>
        <w:t xml:space="preserve"> </w:t>
      </w:r>
    </w:p>
    <w:p w:rsidR="00F353F0" w:rsidRPr="001707C0" w:rsidRDefault="00F353F0" w:rsidP="00F353F0">
      <w:pPr>
        <w:keepNext/>
        <w:widowControl w:val="0"/>
        <w:autoSpaceDE w:val="0"/>
        <w:autoSpaceDN w:val="0"/>
        <w:adjustRightInd w:val="0"/>
        <w:spacing w:after="0"/>
        <w:contextualSpacing/>
        <w:jc w:val="both"/>
        <w:outlineLvl w:val="0"/>
        <w:rPr>
          <w:rFonts w:ascii="Garamond" w:eastAsia="Times New Roman" w:hAnsi="Garamond"/>
          <w:sz w:val="24"/>
          <w:szCs w:val="24"/>
          <w:lang w:val="en-US" w:eastAsia="fr-FR"/>
        </w:rPr>
      </w:pPr>
      <w:r w:rsidRPr="001707C0">
        <w:rPr>
          <w:rFonts w:ascii="Garamond" w:eastAsia="Times New Roman" w:hAnsi="Garamond"/>
          <w:sz w:val="24"/>
          <w:szCs w:val="24"/>
          <w:lang w:val="en-US" w:eastAsia="fr-FR"/>
        </w:rPr>
        <w:t>The equity of the banking sector increased with 21.6 percent at the end of May 2023 completing 829.3 from BIF 682.2 billion at the end of May 2022. On the contrary, the core solvency ratio</w:t>
      </w:r>
      <w:r w:rsidRPr="001707C0">
        <w:rPr>
          <w:rStyle w:val="Appelnotedebasdep"/>
          <w:rFonts w:ascii="Garamond" w:hAnsi="Garamond"/>
          <w:lang w:val="en-US"/>
        </w:rPr>
        <w:footnoteReference w:id="1"/>
      </w:r>
      <w:r w:rsidRPr="001707C0">
        <w:rPr>
          <w:rFonts w:ascii="Garamond" w:eastAsia="Times New Roman" w:hAnsi="Garamond"/>
          <w:sz w:val="24"/>
          <w:szCs w:val="24"/>
          <w:lang w:val="en-US" w:eastAsia="fr-FR"/>
        </w:rPr>
        <w:t xml:space="preserve"> is set to fall in 19.6 percent against 21.9 percent as well as the overall solvency ratio declined to settle at 21.3 percent from 23.3 percent. In addition, the leverage ratio</w:t>
      </w:r>
      <w:r w:rsidRPr="001707C0">
        <w:rPr>
          <w:rStyle w:val="Appelnotedebasdep"/>
          <w:rFonts w:ascii="Garamond" w:hAnsi="Garamond"/>
          <w:lang w:val="en-US"/>
        </w:rPr>
        <w:footnoteReference w:id="2"/>
      </w:r>
      <w:r w:rsidRPr="001707C0">
        <w:rPr>
          <w:rFonts w:ascii="Garamond" w:eastAsia="Times New Roman" w:hAnsi="Garamond"/>
          <w:sz w:val="24"/>
          <w:szCs w:val="24"/>
          <w:lang w:val="en-US" w:eastAsia="fr-FR"/>
        </w:rPr>
        <w:t xml:space="preserve"> decreased to reach 10.9 percent from 11.7 percent.</w:t>
      </w:r>
    </w:p>
    <w:p w:rsidR="00F353F0" w:rsidRPr="001E3E0D" w:rsidRDefault="00F353F0" w:rsidP="00F353F0">
      <w:pPr>
        <w:spacing w:after="0"/>
        <w:contextualSpacing/>
        <w:jc w:val="both"/>
        <w:rPr>
          <w:rFonts w:ascii="Garamond" w:hAnsi="Garamond" w:cs="Calibri"/>
          <w:color w:val="5B9BD5" w:themeColor="accent1"/>
          <w:sz w:val="24"/>
          <w:szCs w:val="24"/>
          <w:lang w:val="en-US"/>
        </w:rPr>
      </w:pPr>
    </w:p>
    <w:p w:rsidR="00424709" w:rsidRPr="001E3E0D" w:rsidRDefault="00424709" w:rsidP="00D66703">
      <w:pPr>
        <w:spacing w:line="360" w:lineRule="auto"/>
        <w:jc w:val="both"/>
        <w:rPr>
          <w:rFonts w:ascii="Garamond" w:eastAsia="Times New Roman" w:hAnsi="Garamond" w:cs="Calibri"/>
          <w:b/>
          <w:bCs/>
          <w:color w:val="5B9BD5" w:themeColor="accent1"/>
          <w:lang w:val="en-US" w:eastAsia="fr-FR"/>
        </w:rPr>
      </w:pPr>
      <w:r w:rsidRPr="001E3E0D">
        <w:rPr>
          <w:rFonts w:ascii="Garamond" w:eastAsia="Times New Roman" w:hAnsi="Garamond" w:cs="Calibri"/>
          <w:b/>
          <w:bCs/>
          <w:color w:val="5B9BD5" w:themeColor="accent1"/>
          <w:lang w:val="en-US" w:eastAsia="fr-FR"/>
        </w:rPr>
        <w:t>IX.2. Quality of loans portfolio</w:t>
      </w:r>
    </w:p>
    <w:p w:rsidR="00481EA0" w:rsidRPr="001707C0" w:rsidRDefault="00481EA0" w:rsidP="00D66703">
      <w:pPr>
        <w:spacing w:line="360" w:lineRule="auto"/>
        <w:jc w:val="both"/>
        <w:rPr>
          <w:rFonts w:ascii="Garamond" w:eastAsia="Times New Roman" w:hAnsi="Garamond"/>
          <w:sz w:val="24"/>
          <w:szCs w:val="24"/>
          <w:lang w:val="en-US" w:eastAsia="fr-FR"/>
        </w:rPr>
      </w:pPr>
      <w:r w:rsidRPr="00D66703">
        <w:rPr>
          <w:rFonts w:ascii="Garamond" w:eastAsia="Times New Roman" w:hAnsi="Garamond"/>
          <w:sz w:val="24"/>
          <w:szCs w:val="24"/>
          <w:lang w:val="en-US" w:eastAsia="fr-FR"/>
        </w:rPr>
        <w:t>At the end of May 2023, non-performing loans increased largely with 30.8 percent year-</w:t>
      </w:r>
      <w:r w:rsidRPr="001707C0">
        <w:rPr>
          <w:rFonts w:ascii="Garamond" w:eastAsia="Times New Roman" w:hAnsi="Garamond"/>
          <w:sz w:val="24"/>
          <w:szCs w:val="24"/>
          <w:lang w:val="en-US" w:eastAsia="fr-FR"/>
        </w:rPr>
        <w:t>on-year, totaling BIF 77,491.6 Million against BIF 59,228.1 Million at the end of May 2022. Yet, the overall loan default rate improved stepping at 2.4 percent from 2.6 percent at the end of May 2022.</w:t>
      </w:r>
    </w:p>
    <w:p w:rsidR="00481EA0" w:rsidRPr="001707C0" w:rsidRDefault="00481EA0" w:rsidP="00481EA0">
      <w:pPr>
        <w:keepNext/>
        <w:widowControl w:val="0"/>
        <w:autoSpaceDE w:val="0"/>
        <w:autoSpaceDN w:val="0"/>
        <w:adjustRightInd w:val="0"/>
        <w:spacing w:after="0"/>
        <w:contextualSpacing/>
        <w:jc w:val="both"/>
        <w:outlineLvl w:val="0"/>
        <w:rPr>
          <w:rFonts w:ascii="Garamond" w:eastAsia="Times New Roman" w:hAnsi="Garamond"/>
          <w:sz w:val="24"/>
          <w:szCs w:val="24"/>
          <w:lang w:val="en-US" w:eastAsia="fr-FR"/>
        </w:rPr>
      </w:pPr>
      <w:r w:rsidRPr="001707C0">
        <w:rPr>
          <w:rFonts w:ascii="Garamond" w:eastAsia="Times New Roman" w:hAnsi="Garamond"/>
          <w:sz w:val="24"/>
          <w:szCs w:val="24"/>
          <w:lang w:val="en-US" w:eastAsia="fr-FR"/>
        </w:rPr>
        <w:t xml:space="preserve">Regarding year-on-year basis, the loan portfolio which is allocated in some sectors of activities improved at the end of May 2023 on a hand. The loan default rates </w:t>
      </w:r>
      <w:r w:rsidRPr="001707C0">
        <w:rPr>
          <w:rFonts w:ascii="Garamond" w:hAnsi="Garamond"/>
          <w:sz w:val="24"/>
          <w:lang w:val="en-US"/>
        </w:rPr>
        <w:t xml:space="preserve">declined to stand at 1.5 percent at the end of May 2023 from 2.3 percent for the same period of 2022 in agriculture, at 0.4 percent from 1.0 percent in industry, at 2.4 percent from 2.6 percent in trade, at 1.8 percent from 2.4 percent in construction and at 6.5 percent from 9.9 percent in </w:t>
      </w:r>
      <w:r w:rsidRPr="001707C0">
        <w:rPr>
          <w:rFonts w:ascii="Garamond" w:eastAsia="Times New Roman" w:hAnsi="Garamond"/>
          <w:sz w:val="24"/>
          <w:szCs w:val="24"/>
          <w:lang w:val="en-US" w:eastAsia="fr-FR"/>
        </w:rPr>
        <w:t>tourism. On the other hand, the equipment sector-led loan portfolio failed to improve at the end of May 2023. Its related default rate therefore increased until 4.2 against 3.0 percent in the same month of 2022.</w:t>
      </w:r>
    </w:p>
    <w:p w:rsidR="00904D36" w:rsidRPr="001707C0" w:rsidRDefault="00904D36" w:rsidP="00E76035">
      <w:pPr>
        <w:keepNext/>
        <w:widowControl w:val="0"/>
        <w:autoSpaceDE w:val="0"/>
        <w:autoSpaceDN w:val="0"/>
        <w:adjustRightInd w:val="0"/>
        <w:spacing w:after="0" w:line="360" w:lineRule="auto"/>
        <w:contextualSpacing/>
        <w:jc w:val="both"/>
        <w:outlineLvl w:val="0"/>
        <w:rPr>
          <w:rFonts w:ascii="Garamond" w:eastAsia="Times New Roman" w:hAnsi="Garamond" w:cs="Calibri"/>
          <w:color w:val="FF0000"/>
          <w:lang w:val="en-US" w:eastAsia="fr-FR"/>
        </w:rPr>
      </w:pPr>
    </w:p>
    <w:p w:rsidR="00424709" w:rsidRPr="001E3E0D" w:rsidRDefault="00424709" w:rsidP="00C93D9D">
      <w:pPr>
        <w:keepNext/>
        <w:widowControl w:val="0"/>
        <w:shd w:val="clear" w:color="auto" w:fill="FFFFFF"/>
        <w:autoSpaceDE w:val="0"/>
        <w:autoSpaceDN w:val="0"/>
        <w:adjustRightInd w:val="0"/>
        <w:spacing w:after="120" w:line="360" w:lineRule="auto"/>
        <w:jc w:val="both"/>
        <w:outlineLvl w:val="1"/>
        <w:rPr>
          <w:rFonts w:ascii="Garamond" w:eastAsia="Times New Roman" w:hAnsi="Garamond" w:cs="Calibri"/>
          <w:b/>
          <w:bCs/>
          <w:color w:val="5B9BD5" w:themeColor="accent1"/>
          <w:lang w:val="en-US" w:eastAsia="fr-FR"/>
        </w:rPr>
      </w:pPr>
      <w:r w:rsidRPr="001E3E0D">
        <w:rPr>
          <w:rFonts w:ascii="Garamond" w:eastAsia="Times New Roman" w:hAnsi="Garamond" w:cs="Calibri"/>
          <w:b/>
          <w:bCs/>
          <w:color w:val="5B9BD5" w:themeColor="accent1"/>
          <w:lang w:val="en-US" w:eastAsia="fr-FR"/>
        </w:rPr>
        <w:t>IX.3. Concentration of loan</w:t>
      </w:r>
      <w:r w:rsidR="00FA17E6" w:rsidRPr="001E3E0D">
        <w:rPr>
          <w:rFonts w:ascii="Garamond" w:eastAsia="Times New Roman" w:hAnsi="Garamond" w:cs="Calibri"/>
          <w:b/>
          <w:bCs/>
          <w:color w:val="5B9BD5" w:themeColor="accent1"/>
          <w:lang w:val="en-US" w:eastAsia="fr-FR"/>
        </w:rPr>
        <w:t>s</w:t>
      </w:r>
      <w:r w:rsidRPr="001E3E0D">
        <w:rPr>
          <w:rFonts w:ascii="Garamond" w:eastAsia="Times New Roman" w:hAnsi="Garamond" w:cs="Calibri"/>
          <w:b/>
          <w:bCs/>
          <w:color w:val="5B9BD5" w:themeColor="accent1"/>
          <w:lang w:val="en-US" w:eastAsia="fr-FR"/>
        </w:rPr>
        <w:t xml:space="preserve"> portfolio </w:t>
      </w:r>
    </w:p>
    <w:p w:rsidR="002359C3" w:rsidRPr="001707C0" w:rsidRDefault="00481EA0" w:rsidP="002359C3">
      <w:pPr>
        <w:keepNext/>
        <w:widowControl w:val="0"/>
        <w:autoSpaceDE w:val="0"/>
        <w:autoSpaceDN w:val="0"/>
        <w:adjustRightInd w:val="0"/>
        <w:spacing w:after="0" w:line="360" w:lineRule="auto"/>
        <w:contextualSpacing/>
        <w:jc w:val="both"/>
        <w:outlineLvl w:val="0"/>
        <w:rPr>
          <w:rFonts w:ascii="Garamond" w:eastAsia="Times New Roman" w:hAnsi="Garamond" w:cs="Calibri"/>
          <w:color w:val="FF0000"/>
          <w:lang w:val="en-US" w:eastAsia="fr-FR"/>
        </w:rPr>
      </w:pPr>
      <w:r w:rsidRPr="001707C0">
        <w:rPr>
          <w:rFonts w:ascii="Garamond" w:hAnsi="Garamond" w:cs="Calibri"/>
          <w:sz w:val="24"/>
          <w:szCs w:val="24"/>
          <w:lang w:val="en-US"/>
        </w:rPr>
        <w:t>The banking sector exposure to large loan risks</w:t>
      </w:r>
      <w:r w:rsidRPr="001707C0">
        <w:rPr>
          <w:rStyle w:val="Appelnotedebasdep"/>
          <w:rFonts w:ascii="Garamond" w:hAnsi="Garamond"/>
          <w:lang w:val="en-US"/>
        </w:rPr>
        <w:footnoteReference w:id="3"/>
      </w:r>
      <w:r w:rsidRPr="001707C0">
        <w:rPr>
          <w:rFonts w:ascii="Garamond" w:hAnsi="Garamond" w:cs="Calibri"/>
          <w:sz w:val="24"/>
          <w:szCs w:val="24"/>
          <w:lang w:val="en-US"/>
        </w:rPr>
        <w:t xml:space="preserve"> grew until 72.8 percent at the end of May 2023, standing at BIF 1,370.0 billion from BIF 792.7 billion along May 2022. </w:t>
      </w:r>
      <w:r w:rsidRPr="001707C0">
        <w:rPr>
          <w:rFonts w:ascii="Garamond" w:eastAsia="Times New Roman" w:hAnsi="Garamond"/>
          <w:sz w:val="24"/>
          <w:szCs w:val="24"/>
          <w:lang w:val="en-US" w:eastAsia="fr-FR"/>
        </w:rPr>
        <w:t>The main risks as a share in overall loan portfolio arose to</w:t>
      </w:r>
      <w:r w:rsidRPr="001707C0">
        <w:rPr>
          <w:rFonts w:ascii="Garamond" w:hAnsi="Garamond" w:cs="Calibri"/>
          <w:sz w:val="24"/>
          <w:szCs w:val="24"/>
          <w:lang w:val="en-US"/>
        </w:rPr>
        <w:t xml:space="preserve"> 42.9 percent at the end of May 2023 against 34.5 percent at the end of May 2022. Despite a decrease in financing means, trade and equipment are the most financed sectors respectively 30.4 and 23.3 percent in the overall loan portfolio against 31.9 percent and </w:t>
      </w:r>
      <w:r w:rsidRPr="001707C0">
        <w:rPr>
          <w:rFonts w:ascii="Garamond" w:hAnsi="Garamond" w:cs="Calibri"/>
          <w:sz w:val="24"/>
          <w:szCs w:val="24"/>
          <w:lang w:val="en-US"/>
        </w:rPr>
        <w:lastRenderedPageBreak/>
        <w:t>26.8 percent at the end of May 2022. Considering yet outstanding loans allocated in both the two sectors, they respectively grew and totaled BIF 971.2 and 744.3 billion at the end of May 2023 against BIF 732.4 and</w:t>
      </w:r>
      <w:r w:rsidR="001E3E0D">
        <w:rPr>
          <w:rFonts w:ascii="Garamond" w:hAnsi="Garamond" w:cs="Calibri"/>
          <w:sz w:val="24"/>
          <w:szCs w:val="24"/>
          <w:lang w:val="en-US"/>
        </w:rPr>
        <w:t xml:space="preserve"> </w:t>
      </w:r>
      <w:r w:rsidRPr="001707C0">
        <w:rPr>
          <w:rFonts w:ascii="Garamond" w:hAnsi="Garamond" w:cs="Calibri"/>
          <w:sz w:val="24"/>
          <w:szCs w:val="24"/>
          <w:lang w:val="en-US"/>
        </w:rPr>
        <w:t xml:space="preserve">615.8 billion along similar month last year.  </w:t>
      </w:r>
    </w:p>
    <w:p w:rsidR="006144C7" w:rsidRPr="001707C0" w:rsidRDefault="006144C7" w:rsidP="006144C7">
      <w:pPr>
        <w:keepNext/>
        <w:widowControl w:val="0"/>
        <w:autoSpaceDE w:val="0"/>
        <w:autoSpaceDN w:val="0"/>
        <w:adjustRightInd w:val="0"/>
        <w:spacing w:after="0"/>
        <w:contextualSpacing/>
        <w:jc w:val="both"/>
        <w:outlineLvl w:val="0"/>
        <w:rPr>
          <w:rFonts w:ascii="Garamond" w:eastAsia="Times New Roman" w:hAnsi="Garamond"/>
          <w:color w:val="FF0000"/>
          <w:sz w:val="24"/>
          <w:szCs w:val="24"/>
          <w:lang w:val="en-US" w:eastAsia="fr-FR"/>
        </w:rPr>
      </w:pPr>
    </w:p>
    <w:p w:rsidR="00424709" w:rsidRPr="001E3E0D" w:rsidRDefault="00424709" w:rsidP="00C54372">
      <w:pPr>
        <w:keepNext/>
        <w:widowControl w:val="0"/>
        <w:shd w:val="clear" w:color="auto" w:fill="FFFFFF"/>
        <w:autoSpaceDE w:val="0"/>
        <w:autoSpaceDN w:val="0"/>
        <w:adjustRightInd w:val="0"/>
        <w:spacing w:after="120" w:line="360" w:lineRule="auto"/>
        <w:jc w:val="both"/>
        <w:outlineLvl w:val="1"/>
        <w:rPr>
          <w:rFonts w:ascii="Garamond" w:eastAsia="Times New Roman" w:hAnsi="Garamond" w:cs="Calibri"/>
          <w:b/>
          <w:bCs/>
          <w:color w:val="5B9BD5" w:themeColor="accent1"/>
          <w:lang w:val="en-US" w:eastAsia="fr-FR"/>
        </w:rPr>
      </w:pPr>
      <w:r w:rsidRPr="001E3E0D">
        <w:rPr>
          <w:rFonts w:ascii="Garamond" w:eastAsia="Times New Roman" w:hAnsi="Garamond" w:cs="Calibri"/>
          <w:b/>
          <w:bCs/>
          <w:color w:val="5B9BD5" w:themeColor="accent1"/>
          <w:lang w:val="en-US" w:eastAsia="fr-FR"/>
        </w:rPr>
        <w:t>IX.4. Profitability</w:t>
      </w:r>
    </w:p>
    <w:p w:rsidR="00481EA0" w:rsidRPr="001707C0" w:rsidRDefault="00481EA0" w:rsidP="00481EA0">
      <w:pPr>
        <w:keepNext/>
        <w:widowControl w:val="0"/>
        <w:autoSpaceDE w:val="0"/>
        <w:autoSpaceDN w:val="0"/>
        <w:adjustRightInd w:val="0"/>
        <w:spacing w:after="0"/>
        <w:contextualSpacing/>
        <w:jc w:val="both"/>
        <w:outlineLvl w:val="0"/>
        <w:rPr>
          <w:rFonts w:ascii="Garamond" w:eastAsia="Times New Roman" w:hAnsi="Garamond"/>
          <w:color w:val="FF0000"/>
          <w:sz w:val="24"/>
          <w:szCs w:val="24"/>
          <w:lang w:val="en-US" w:eastAsia="fr-FR"/>
        </w:rPr>
      </w:pPr>
      <w:r w:rsidRPr="001707C0">
        <w:rPr>
          <w:rFonts w:ascii="Garamond" w:eastAsia="Times New Roman" w:hAnsi="Garamond"/>
          <w:sz w:val="24"/>
          <w:szCs w:val="24"/>
          <w:lang w:val="en-US" w:eastAsia="fr-FR"/>
        </w:rPr>
        <w:t xml:space="preserve">The Banking Sector’s Gross Income increased slightly by 11.9 percent referring to year-on-year. To this end, the Gross Income performed by the present Banking sector amounted BIF 177,499.1 million at the end of May 2023 against BIF 158,660.5 million at the end of May 2022. On the contrary, the Banking Sector Net Income fell by 18.6 percent from BIF 73,410.9 million at the end of May 2022 to BIF 59,761.7 million at the end of May 2023. Moreover, return on assets (ROA) and on equity (ROE) also fell in settling respectively at 0.9 and 7.2 percent at </w:t>
      </w:r>
      <w:r w:rsidRPr="001707C0">
        <w:rPr>
          <w:rFonts w:ascii="Garamond" w:eastAsia="Times New Roman" w:hAnsi="Garamond"/>
          <w:sz w:val="24"/>
          <w:szCs w:val="24"/>
          <w:lang w:val="en-US" w:eastAsia="fr-FR"/>
        </w:rPr>
        <w:t xml:space="preserve">the end of May 2023 against 1.3 and 10.8 percent at the end of May 2022. </w:t>
      </w:r>
    </w:p>
    <w:p w:rsidR="002359C3" w:rsidRPr="001707C0" w:rsidRDefault="002359C3" w:rsidP="004A2E25">
      <w:pPr>
        <w:keepNext/>
        <w:widowControl w:val="0"/>
        <w:autoSpaceDE w:val="0"/>
        <w:autoSpaceDN w:val="0"/>
        <w:adjustRightInd w:val="0"/>
        <w:spacing w:after="0" w:line="360" w:lineRule="auto"/>
        <w:contextualSpacing/>
        <w:jc w:val="both"/>
        <w:outlineLvl w:val="0"/>
        <w:rPr>
          <w:rFonts w:ascii="Garamond" w:eastAsia="Times New Roman" w:hAnsi="Garamond" w:cs="Calibri"/>
          <w:color w:val="FF0000"/>
          <w:lang w:val="en-US" w:eastAsia="fr-FR"/>
        </w:rPr>
      </w:pPr>
    </w:p>
    <w:p w:rsidR="00424709" w:rsidRPr="001E3E0D" w:rsidRDefault="00424709" w:rsidP="00C93D9D">
      <w:pPr>
        <w:keepNext/>
        <w:widowControl w:val="0"/>
        <w:shd w:val="clear" w:color="auto" w:fill="FFFFFF"/>
        <w:autoSpaceDE w:val="0"/>
        <w:autoSpaceDN w:val="0"/>
        <w:adjustRightInd w:val="0"/>
        <w:spacing w:after="120" w:line="360" w:lineRule="auto"/>
        <w:jc w:val="both"/>
        <w:outlineLvl w:val="1"/>
        <w:rPr>
          <w:rFonts w:ascii="Garamond" w:eastAsia="Times New Roman" w:hAnsi="Garamond" w:cs="Calibri"/>
          <w:b/>
          <w:bCs/>
          <w:color w:val="5B9BD5" w:themeColor="accent1"/>
          <w:lang w:val="en-US" w:eastAsia="fr-FR"/>
        </w:rPr>
      </w:pPr>
      <w:r w:rsidRPr="001E3E0D">
        <w:rPr>
          <w:rFonts w:ascii="Garamond" w:eastAsia="Times New Roman" w:hAnsi="Garamond" w:cs="Calibri"/>
          <w:b/>
          <w:bCs/>
          <w:color w:val="5B9BD5" w:themeColor="accent1"/>
          <w:lang w:val="en-US" w:eastAsia="fr-FR"/>
        </w:rPr>
        <w:t xml:space="preserve">IX.5. Liquidity   </w:t>
      </w:r>
    </w:p>
    <w:p w:rsidR="00481EA0" w:rsidRPr="001707C0" w:rsidRDefault="00481EA0" w:rsidP="00481EA0">
      <w:pPr>
        <w:keepNext/>
        <w:widowControl w:val="0"/>
        <w:autoSpaceDE w:val="0"/>
        <w:autoSpaceDN w:val="0"/>
        <w:adjustRightInd w:val="0"/>
        <w:spacing w:after="0"/>
        <w:contextualSpacing/>
        <w:jc w:val="both"/>
        <w:outlineLvl w:val="0"/>
        <w:rPr>
          <w:rFonts w:ascii="Garamond" w:eastAsia="Times New Roman" w:hAnsi="Garamond"/>
          <w:sz w:val="24"/>
          <w:szCs w:val="24"/>
          <w:lang w:val="en-US" w:eastAsia="fr-FR"/>
        </w:rPr>
      </w:pPr>
      <w:r w:rsidRPr="001707C0">
        <w:rPr>
          <w:rFonts w:ascii="Garamond" w:eastAsia="Times New Roman" w:hAnsi="Garamond"/>
          <w:sz w:val="24"/>
          <w:szCs w:val="24"/>
          <w:lang w:val="en-US" w:eastAsia="fr-FR"/>
        </w:rPr>
        <w:t>The Liquidity coverage ratio for short-term (LCR)</w:t>
      </w:r>
      <w:r w:rsidRPr="001707C0">
        <w:rPr>
          <w:rStyle w:val="Appelnotedebasdep"/>
          <w:rFonts w:ascii="Garamond" w:hAnsi="Garamond"/>
          <w:lang w:val="en-US"/>
        </w:rPr>
        <w:t xml:space="preserve"> </w:t>
      </w:r>
      <w:r w:rsidRPr="001707C0">
        <w:rPr>
          <w:rStyle w:val="Appelnotedebasdep"/>
          <w:rFonts w:ascii="Garamond" w:hAnsi="Garamond"/>
          <w:lang w:val="en-US"/>
        </w:rPr>
        <w:footnoteReference w:id="4"/>
      </w:r>
      <w:r w:rsidRPr="001707C0">
        <w:rPr>
          <w:rFonts w:ascii="Garamond" w:eastAsia="Times New Roman" w:hAnsi="Garamond"/>
          <w:sz w:val="24"/>
          <w:szCs w:val="24"/>
          <w:lang w:val="en-US" w:eastAsia="fr-FR"/>
        </w:rPr>
        <w:t xml:space="preserve"> in BIF decreased slightly stepping at 153.9 percent at the end of May 2023 against 156.3 percent at the end of May 2022. Likewise, the short-term liquidity ratio in foreign currencies fell down settling at 132.6 percent compared to 174.0 percent at the end of May 2022.</w:t>
      </w:r>
    </w:p>
    <w:p w:rsidR="00481EA0" w:rsidRPr="001707C0" w:rsidRDefault="00481EA0" w:rsidP="00481EA0">
      <w:pPr>
        <w:keepNext/>
        <w:widowControl w:val="0"/>
        <w:autoSpaceDE w:val="0"/>
        <w:autoSpaceDN w:val="0"/>
        <w:adjustRightInd w:val="0"/>
        <w:spacing w:after="0"/>
        <w:contextualSpacing/>
        <w:jc w:val="both"/>
        <w:outlineLvl w:val="0"/>
        <w:rPr>
          <w:rFonts w:ascii="Garamond" w:eastAsia="Times New Roman" w:hAnsi="Garamond"/>
          <w:sz w:val="24"/>
          <w:szCs w:val="24"/>
          <w:lang w:val="en-US" w:eastAsia="fr-FR"/>
        </w:rPr>
      </w:pPr>
    </w:p>
    <w:p w:rsidR="00481EA0" w:rsidRPr="001707C0" w:rsidRDefault="00481EA0" w:rsidP="00481EA0">
      <w:pPr>
        <w:keepNext/>
        <w:widowControl w:val="0"/>
        <w:autoSpaceDE w:val="0"/>
        <w:autoSpaceDN w:val="0"/>
        <w:adjustRightInd w:val="0"/>
        <w:spacing w:after="0"/>
        <w:contextualSpacing/>
        <w:jc w:val="both"/>
        <w:outlineLvl w:val="0"/>
        <w:rPr>
          <w:rFonts w:ascii="Garamond" w:eastAsia="Times New Roman" w:hAnsi="Garamond"/>
          <w:sz w:val="24"/>
          <w:szCs w:val="24"/>
          <w:lang w:val="en-US" w:eastAsia="fr-FR"/>
        </w:rPr>
      </w:pPr>
      <w:r w:rsidRPr="001707C0">
        <w:rPr>
          <w:rFonts w:ascii="Garamond" w:eastAsia="Times New Roman" w:hAnsi="Garamond"/>
          <w:sz w:val="24"/>
          <w:szCs w:val="24"/>
          <w:lang w:val="en-US" w:eastAsia="fr-FR"/>
        </w:rPr>
        <w:t>The large deposits increased up to 23.3 percent reaching BIF 1,781.6 billion at the end of May 2023 from BIF 1,445.5 billion at the end of May 2022.</w:t>
      </w:r>
    </w:p>
    <w:p w:rsidR="002359C3" w:rsidRPr="001707C0" w:rsidRDefault="00481EA0" w:rsidP="00481EA0">
      <w:pPr>
        <w:keepNext/>
        <w:widowControl w:val="0"/>
        <w:autoSpaceDE w:val="0"/>
        <w:autoSpaceDN w:val="0"/>
        <w:adjustRightInd w:val="0"/>
        <w:spacing w:after="0" w:line="360" w:lineRule="auto"/>
        <w:contextualSpacing/>
        <w:jc w:val="both"/>
        <w:outlineLvl w:val="0"/>
        <w:rPr>
          <w:rFonts w:ascii="Garamond" w:eastAsia="Times New Roman" w:hAnsi="Garamond" w:cs="Calibri"/>
          <w:color w:val="FF0000"/>
          <w:lang w:val="en-US" w:eastAsia="fr-FR"/>
        </w:rPr>
        <w:sectPr w:rsidR="002359C3" w:rsidRPr="001707C0" w:rsidSect="00851696">
          <w:footerReference w:type="default" r:id="rId12"/>
          <w:headerReference w:type="first" r:id="rId13"/>
          <w:footerReference w:type="first" r:id="rId14"/>
          <w:type w:val="continuous"/>
          <w:pgSz w:w="11906" w:h="16838"/>
          <w:pgMar w:top="1417" w:right="1417" w:bottom="1417" w:left="1417" w:header="708" w:footer="708" w:gutter="0"/>
          <w:pgNumType w:start="1"/>
          <w:cols w:num="2" w:space="708"/>
          <w:titlePg/>
          <w:docGrid w:linePitch="360"/>
        </w:sectPr>
      </w:pPr>
      <w:r w:rsidRPr="001707C0">
        <w:rPr>
          <w:rFonts w:ascii="Garamond" w:eastAsia="Times New Roman" w:hAnsi="Garamond"/>
          <w:sz w:val="24"/>
          <w:szCs w:val="24"/>
          <w:lang w:val="en-US" w:eastAsia="fr-FR"/>
        </w:rPr>
        <w:t>The 10 large deposits</w:t>
      </w:r>
      <w:r w:rsidRPr="001707C0">
        <w:rPr>
          <w:rStyle w:val="Appelnotedebasdep"/>
          <w:rFonts w:ascii="Garamond" w:hAnsi="Garamond"/>
          <w:lang w:val="en-US"/>
        </w:rPr>
        <w:footnoteReference w:id="5"/>
      </w:r>
      <w:r w:rsidRPr="001707C0">
        <w:rPr>
          <w:rFonts w:ascii="Garamond" w:eastAsia="Times New Roman" w:hAnsi="Garamond"/>
          <w:sz w:val="24"/>
          <w:szCs w:val="24"/>
          <w:lang w:val="en-US" w:eastAsia="fr-FR"/>
        </w:rPr>
        <w:t xml:space="preserve"> as a proportion in total sector deposits fell slowly by 1.4 percentage point standing at 43.3 percent at the end of May 2023 against 44.7 percent at the end of </w:t>
      </w:r>
      <w:r w:rsidRPr="001707C0">
        <w:rPr>
          <w:rFonts w:ascii="Garamond" w:eastAsia="Times New Roman" w:hAnsi="Garamond" w:cs="Calibri"/>
          <w:color w:val="FF0000"/>
          <w:lang w:val="en-US" w:eastAsia="fr-FR"/>
        </w:rPr>
        <w:t xml:space="preserve">  </w:t>
      </w:r>
      <w:r w:rsidRPr="001707C0">
        <w:rPr>
          <w:rFonts w:ascii="Garamond" w:eastAsia="Times New Roman" w:hAnsi="Garamond"/>
          <w:sz w:val="24"/>
          <w:szCs w:val="24"/>
          <w:lang w:val="en-US" w:eastAsia="fr-FR"/>
        </w:rPr>
        <w:t>May 2022.</w:t>
      </w:r>
    </w:p>
    <w:p w:rsidR="00277B6D" w:rsidRPr="001707C0" w:rsidRDefault="002C4A8B" w:rsidP="000B40B2">
      <w:pPr>
        <w:pStyle w:val="Titre2"/>
        <w:tabs>
          <w:tab w:val="right" w:pos="9026"/>
        </w:tabs>
        <w:spacing w:after="120" w:line="360" w:lineRule="auto"/>
        <w:rPr>
          <w:rFonts w:ascii="Garamond" w:hAnsi="Garamond" w:cs="Calibri"/>
          <w:color w:val="FF0000"/>
          <w:sz w:val="22"/>
          <w:szCs w:val="22"/>
          <w:lang w:val="en-US"/>
        </w:rPr>
      </w:pPr>
      <w:r w:rsidRPr="001707C0">
        <w:rPr>
          <w:rFonts w:ascii="Garamond" w:hAnsi="Garamond" w:cs="Calibri"/>
          <w:noProof/>
          <w:color w:val="FF0000"/>
          <w:sz w:val="22"/>
          <w:szCs w:val="22"/>
          <w:lang w:val="fr-FR" w:eastAsia="fr-FR"/>
        </w:rPr>
        <w:lastRenderedPageBreak/>
        <mc:AlternateContent>
          <mc:Choice Requires="wps">
            <w:drawing>
              <wp:anchor distT="0" distB="0" distL="114300" distR="114300" simplePos="0" relativeHeight="251659264" behindDoc="0" locked="0" layoutInCell="1" allowOverlap="1" wp14:anchorId="50080DF8" wp14:editId="600CC459">
                <wp:simplePos x="0" y="0"/>
                <wp:positionH relativeFrom="column">
                  <wp:posOffset>-136525</wp:posOffset>
                </wp:positionH>
                <wp:positionV relativeFrom="paragraph">
                  <wp:posOffset>8632190</wp:posOffset>
                </wp:positionV>
                <wp:extent cx="1666875" cy="309880"/>
                <wp:effectExtent l="0" t="0" r="9525" b="0"/>
                <wp:wrapNone/>
                <wp:docPr id="2" name="Rectangle à coins arrondis 2"/>
                <wp:cNvGraphicFramePr/>
                <a:graphic xmlns:a="http://schemas.openxmlformats.org/drawingml/2006/main">
                  <a:graphicData uri="http://schemas.microsoft.com/office/word/2010/wordprocessingShape">
                    <wps:wsp>
                      <wps:cNvSpPr/>
                      <wps:spPr>
                        <a:xfrm>
                          <a:off x="0" y="0"/>
                          <a:ext cx="1666875" cy="309880"/>
                        </a:xfrm>
                        <a:prstGeom prst="roundRect">
                          <a:avLst/>
                        </a:prstGeom>
                        <a:ln>
                          <a:noFill/>
                        </a:ln>
                      </wps:spPr>
                      <wps:style>
                        <a:lnRef idx="2">
                          <a:schemeClr val="accent6"/>
                        </a:lnRef>
                        <a:fillRef idx="1">
                          <a:schemeClr val="lt1"/>
                        </a:fillRef>
                        <a:effectRef idx="0">
                          <a:schemeClr val="accent6"/>
                        </a:effectRef>
                        <a:fontRef idx="minor">
                          <a:schemeClr val="dk1"/>
                        </a:fontRef>
                      </wps:style>
                      <wps:txbx>
                        <w:txbxContent>
                          <w:p w:rsidR="00892842" w:rsidRPr="00407888" w:rsidRDefault="008860FC" w:rsidP="00424709">
                            <w:pPr>
                              <w:rPr>
                                <w:b/>
                              </w:rPr>
                            </w:pPr>
                            <w:r>
                              <w:rPr>
                                <w:b/>
                              </w:rPr>
                              <w:t xml:space="preserve">Source : </w:t>
                            </w:r>
                            <w:r w:rsidR="00892842" w:rsidRPr="00407888">
                              <w:rPr>
                                <w:b/>
                              </w:rPr>
                              <w:t>BRB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0080DF8" id="Rectangle à coins arrondis 2" o:spid="_x0000_s1026" style="position:absolute;left:0;text-align:left;margin-left:-10.75pt;margin-top:679.7pt;width:131.25pt;height:24.4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rXdjAIAAEwFAAAOAAAAZHJzL2Uyb0RvYy54bWysVM1u2zAMvg/YOwi6r46zNk2DOkXQosOA&#10;oi3aDj0rspQYk0WNUmJnT7N36YuNkh2363IadpFJkx9/PpE6v2hrw7YKfQW24PnRiDNlJZSVXRX8&#10;29P1pylnPghbCgNWFXynPL+Yf/xw3riZGsMaTKmQURDrZ40r+DoEN8syL9eqFv4InLJk1IC1CKTi&#10;KitRNBS9Ntl4NJpkDWDpEKTynv5edUY+T/G1VjLcae1VYKbgVFtIJ6ZzGc9sfi5mKxRuXcm+DPEP&#10;VdSispR0CHUlgmAbrP4KVVcSwYMORxLqDLSupEo9UDf56F03j2vhVOqFyPFuoMn/v7DydnuPrCoL&#10;PubMipqu6IFIE3ZlFHv5xSRU1jOBCLasPBtHwhrnZ4R7dPfYa57E2H2rsY5f6ou1ieTdQLJqA5P0&#10;M59MJtPTE84k2T6PzqbTdAvZK9qhD18U1CwKBUfY2DIWlQgW2xsfKC357/1iRmPjaeG6Mqazxj9Z&#10;LLUrLklhZ1Tn/aA0dU3ljFPUNG/q0iDbCpoUIaWyYRKbpTzGkneEaQo+APNDQBPyHtT7RphKczgA&#10;R4eAf2YcECkr2DCA68oCHgpQfh8yd/777rueY/uhXbb9hS2h3NG9I3QL4Z28rojsG+HDvUDaANoV&#10;2upwR4c20BQceomzNeDPQ/+jPw0mWTlraKMK7n9sBCrOzFdLI3uWHx/HFUzK8cnpmBR8a1m+tdhN&#10;fQl0FTm9H04mMfoHsxc1Qv1My7+IWckkrKTcBZcB98pl6Dadng+pFovkRmvnRLixj07G4JHgOEdP&#10;7bNA109coFm9hf32idm7met8I9LCYhNAV2kgI8Udrz31tLJpfvrnJb4Jb/Xk9foIzn8DAAD//wMA&#10;UEsDBBQABgAIAAAAIQBPyaHd4QAAAA0BAAAPAAAAZHJzL2Rvd25yZXYueG1sTI/NTsMwEITvSLyD&#10;tUjcWidpCmmIU6GKnHqglPbu2iaO6p/Idtvw9iwnOO7Mp9mZZj1ZQ64qxME7Bvk8A6Kc8HJwPYPD&#10;ZzergMTEneTGO8XgW0VYt/d3Da+lv7kPdd2nnmCIizVnoFMaa0qj0MryOPejcuh9+WB5wjP0VAZ+&#10;w3BraJFlT9TyweEHzUe10Uqc9xfL4P3YbXa9WFRye94eujfzrCsRGHt8mF5fgCQ1pT8YfutjdWix&#10;08lfnIzEMJgV+RJRNBbLVQkEkaLMcd4JpTKrCqBtQ/+vaH8AAAD//wMAUEsBAi0AFAAGAAgAAAAh&#10;ALaDOJL+AAAA4QEAABMAAAAAAAAAAAAAAAAAAAAAAFtDb250ZW50X1R5cGVzXS54bWxQSwECLQAU&#10;AAYACAAAACEAOP0h/9YAAACUAQAACwAAAAAAAAAAAAAAAAAvAQAAX3JlbHMvLnJlbHNQSwECLQAU&#10;AAYACAAAACEAN4q13YwCAABMBQAADgAAAAAAAAAAAAAAAAAuAgAAZHJzL2Uyb0RvYy54bWxQSwEC&#10;LQAUAAYACAAAACEAT8mh3eEAAAANAQAADwAAAAAAAAAAAAAAAADmBAAAZHJzL2Rvd25yZXYueG1s&#10;UEsFBgAAAAAEAAQA8wAAAPQFAAAAAA==&#10;" fillcolor="white [3201]" stroked="f" strokeweight="1pt">
                <v:stroke joinstyle="miter"/>
                <v:textbox>
                  <w:txbxContent>
                    <w:p w:rsidR="00892842" w:rsidRPr="00407888" w:rsidRDefault="008860FC" w:rsidP="00424709">
                      <w:pPr>
                        <w:rPr>
                          <w:b/>
                        </w:rPr>
                      </w:pPr>
                      <w:r>
                        <w:rPr>
                          <w:b/>
                        </w:rPr>
                        <w:t xml:space="preserve">Source : </w:t>
                      </w:r>
                      <w:r w:rsidR="00892842" w:rsidRPr="00407888">
                        <w:rPr>
                          <w:b/>
                        </w:rPr>
                        <w:t>BRB</w:t>
                      </w:r>
                    </w:p>
                  </w:txbxContent>
                </v:textbox>
              </v:roundrect>
            </w:pict>
          </mc:Fallback>
        </mc:AlternateContent>
      </w:r>
      <w:r w:rsidR="00BC7E94" w:rsidRPr="001707C0">
        <w:rPr>
          <w:rFonts w:ascii="Garamond" w:hAnsi="Garamond" w:cs="Calibri"/>
          <w:color w:val="FF0000"/>
          <w:sz w:val="22"/>
          <w:szCs w:val="22"/>
          <w:lang w:val="en-US"/>
        </w:rPr>
        <w:object w:dxaOrig="14333" w:dyaOrig="19767">
          <v:shape id="_x0000_i1026" type="#_x0000_t75" style="width:456.75pt;height:675.75pt" o:ole="">
            <v:imagedata r:id="rId15" o:title=""/>
          </v:shape>
          <o:OLEObject Type="Embed" ProgID="Excel.Sheet.12" ShapeID="_x0000_i1026" DrawAspect="Content" ObjectID="_1761111989" r:id="rId16"/>
        </w:object>
      </w:r>
      <w:r w:rsidR="00424709" w:rsidRPr="001707C0">
        <w:rPr>
          <w:rFonts w:ascii="Garamond" w:hAnsi="Garamond" w:cs="Calibri"/>
          <w:noProof/>
          <w:color w:val="FF0000"/>
          <w:sz w:val="22"/>
          <w:szCs w:val="22"/>
          <w:lang w:val="fr-FR" w:eastAsia="fr-FR"/>
        </w:rPr>
        <mc:AlternateContent>
          <mc:Choice Requires="wps">
            <w:drawing>
              <wp:anchor distT="0" distB="0" distL="114300" distR="114300" simplePos="0" relativeHeight="251667456" behindDoc="0" locked="0" layoutInCell="1" allowOverlap="1" wp14:anchorId="7EF850B3" wp14:editId="173CE781">
                <wp:simplePos x="0" y="0"/>
                <wp:positionH relativeFrom="column">
                  <wp:posOffset>6654</wp:posOffset>
                </wp:positionH>
                <wp:positionV relativeFrom="paragraph">
                  <wp:posOffset>-482600</wp:posOffset>
                </wp:positionV>
                <wp:extent cx="5502302" cy="302150"/>
                <wp:effectExtent l="0" t="0" r="3175" b="3175"/>
                <wp:wrapNone/>
                <wp:docPr id="11" name="Rectangle à coins arrondis 11"/>
                <wp:cNvGraphicFramePr/>
                <a:graphic xmlns:a="http://schemas.openxmlformats.org/drawingml/2006/main">
                  <a:graphicData uri="http://schemas.microsoft.com/office/word/2010/wordprocessingShape">
                    <wps:wsp>
                      <wps:cNvSpPr/>
                      <wps:spPr>
                        <a:xfrm>
                          <a:off x="0" y="0"/>
                          <a:ext cx="5502302" cy="302150"/>
                        </a:xfrm>
                        <a:prstGeom prst="roundRect">
                          <a:avLst/>
                        </a:prstGeom>
                        <a:ln>
                          <a:noFill/>
                        </a:ln>
                      </wps:spPr>
                      <wps:style>
                        <a:lnRef idx="2">
                          <a:schemeClr val="accent6"/>
                        </a:lnRef>
                        <a:fillRef idx="1">
                          <a:schemeClr val="lt1"/>
                        </a:fillRef>
                        <a:effectRef idx="0">
                          <a:schemeClr val="accent6"/>
                        </a:effectRef>
                        <a:fontRef idx="minor">
                          <a:schemeClr val="dk1"/>
                        </a:fontRef>
                      </wps:style>
                      <wps:txbx>
                        <w:txbxContent>
                          <w:p w:rsidR="00892842" w:rsidRPr="009602FF" w:rsidRDefault="00892842" w:rsidP="00424709">
                            <w:pPr>
                              <w:rPr>
                                <w:b/>
                                <w:color w:val="00B0F0"/>
                                <w:lang w:val="en-US"/>
                              </w:rPr>
                            </w:pPr>
                            <w:r w:rsidRPr="00D747B9">
                              <w:rPr>
                                <w:b/>
                                <w:color w:val="00B0F0"/>
                                <w:lang w:val="en-US"/>
                              </w:rPr>
                              <w:t>APPENDIX 1: SELECTED M</w:t>
                            </w:r>
                            <w:r w:rsidR="002C4E73">
                              <w:rPr>
                                <w:b/>
                                <w:color w:val="00B0F0"/>
                                <w:lang w:val="en-US"/>
                              </w:rPr>
                              <w:t>ONTHL</w:t>
                            </w:r>
                            <w:r w:rsidR="00B80683">
                              <w:rPr>
                                <w:b/>
                                <w:color w:val="00B0F0"/>
                                <w:lang w:val="en-US"/>
                              </w:rPr>
                              <w:t>Y</w:t>
                            </w:r>
                            <w:r w:rsidR="00345CB4">
                              <w:rPr>
                                <w:b/>
                                <w:color w:val="00B0F0"/>
                                <w:lang w:val="en-US"/>
                              </w:rPr>
                              <w:t xml:space="preserve"> INDICATORS AT THE END OF DECEM</w:t>
                            </w:r>
                            <w:r w:rsidR="00B80683">
                              <w:rPr>
                                <w:b/>
                                <w:color w:val="00B0F0"/>
                                <w:lang w:val="en-US"/>
                              </w:rPr>
                              <w:t xml:space="preserve">BER </w:t>
                            </w:r>
                            <w:r>
                              <w:rPr>
                                <w:b/>
                                <w:color w:val="00B0F0"/>
                                <w:lang w:val="en-US"/>
                              </w:rPr>
                              <w:t>2022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EF850B3" id="Rectangle à coins arrondis 11" o:spid="_x0000_s1027" style="position:absolute;left:0;text-align:left;margin-left:.5pt;margin-top:-38pt;width:433.25pt;height:23.8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ZWVjAIAAFUFAAAOAAAAZHJzL2Uyb0RvYy54bWysVM1uEzEQviPxDpbvdDehKRB1U0WtipCq&#10;NmqLena8dmLh9Zixk014Gt6FF2Ps3WxLyQlx8Y53vvn/xucXu8ayrcJgwFV8dFJyppyE2rhVxb8+&#10;Xr/7yFmIwtXCglMV36vAL2Zv35y3fqrGsAZbK2TkxIVp6yu+jtFPiyLItWpEOAGvHCk1YCMiXXFV&#10;1Cha8t7YYlyWZ0ULWHsEqUKgv1edks+yf62VjHdaBxWZrTjlFvOJ+Vyms5idi+kKhV8b2ach/iGL&#10;RhhHQQdXVyIKtkHzl6vGSIQAOp5IaArQ2kiVa6BqRuWrah7WwqtcCzUn+KFN4f+5lbfbBTJT0+xG&#10;nDnR0IzuqWvCraxiv34yCcYFJhDB1SYwQlHLWh+mZPngF9jfAomp/p3GJn2pMrbLbd4PbVa7yCT9&#10;nEzK8ftyzJkkHQmjSZ5D8WztMcTPChqWhIojbFydssotFtubECks4Q+4FNG6dDq4NtZ22vSnSKl2&#10;yWUp7q3q0PdKU92Uzjh7zYxTlxbZVhBXhJTKxbNULMWxjtDJTJPzwXB0zNDG3CEy6rHJTGUmDobl&#10;McM/Iw4WOSq4OBg3xgEec1B/GyJ3+EP1Xc2p/Lhb7rphH6a4hHpPBEDoNiN4eW2o5zcixIVAWgVa&#10;GlrveEeHttBWHHqJszXgj2P/E54YSlrOWlqtiofvG4GKM/vFEXc/jU5P0y7my+nkw5gu+FKzfKlx&#10;m+YSaCJET8ouiwkf7UHUCM0TvQLzFJVUwkmKXXEZ8XC5jN3K0zsi1XyeYbR/XsQb9+Blcp76nOj0&#10;uHsS6HviRaLsLRzWUExfUa/DJksH800EbTIvU6e7vvYToN3NNOrfmfQ4vLxn1PNrOPsNAAD//wMA&#10;UEsDBBQABgAIAAAAIQA8LBcm3QAAAAkBAAAPAAAAZHJzL2Rvd25yZXYueG1sTI/BTsMwEETvSPyD&#10;tUjcWocCiRXiVKgipx6AUu6uvcRRYzuy3Tb8PcsJbjs7q9k3zXp2IztjTEPwEu6WBTD0OpjB9xL2&#10;H91CAEtZeaPG4FHCNyZYt9dXjapNuPh3PO9yzyjEp1pJsDlPNedJW3QqLcOEnryvEJ3KJGPPTVQX&#10;CncjXxVFyZ0aPH2wasKNRX3cnZyE189u89bre2G2x+2+exkrK3SU8vZmfn4ClnHOf8fwi0/o0BLT&#10;IZy8SWwkTU2yhEVV0kC+KKtHYAfarMQD8Lbh/xu0PwAAAP//AwBQSwECLQAUAAYACAAAACEAtoM4&#10;kv4AAADhAQAAEwAAAAAAAAAAAAAAAAAAAAAAW0NvbnRlbnRfVHlwZXNdLnhtbFBLAQItABQABgAI&#10;AAAAIQA4/SH/1gAAAJQBAAALAAAAAAAAAAAAAAAAAC8BAABfcmVscy8ucmVsc1BLAQItABQABgAI&#10;AAAAIQDXKZWVjAIAAFUFAAAOAAAAAAAAAAAAAAAAAC4CAABkcnMvZTJvRG9jLnhtbFBLAQItABQA&#10;BgAIAAAAIQA8LBcm3QAAAAkBAAAPAAAAAAAAAAAAAAAAAOYEAABkcnMvZG93bnJldi54bWxQSwUG&#10;AAAAAAQABADzAAAA8AUAAAAA&#10;" fillcolor="white [3201]" stroked="f" strokeweight="1pt">
                <v:stroke joinstyle="miter"/>
                <v:textbox>
                  <w:txbxContent>
                    <w:p w:rsidR="00892842" w:rsidRPr="009602FF" w:rsidRDefault="00892842" w:rsidP="00424709">
                      <w:pPr>
                        <w:rPr>
                          <w:b/>
                          <w:color w:val="00B0F0"/>
                          <w:lang w:val="en-US"/>
                        </w:rPr>
                      </w:pPr>
                      <w:r w:rsidRPr="00D747B9">
                        <w:rPr>
                          <w:b/>
                          <w:color w:val="00B0F0"/>
                          <w:lang w:val="en-US"/>
                        </w:rPr>
                        <w:t>APPENDIX 1: SELECTED M</w:t>
                      </w:r>
                      <w:r w:rsidR="002C4E73">
                        <w:rPr>
                          <w:b/>
                          <w:color w:val="00B0F0"/>
                          <w:lang w:val="en-US"/>
                        </w:rPr>
                        <w:t>ONTHL</w:t>
                      </w:r>
                      <w:r w:rsidR="00B80683">
                        <w:rPr>
                          <w:b/>
                          <w:color w:val="00B0F0"/>
                          <w:lang w:val="en-US"/>
                        </w:rPr>
                        <w:t>Y</w:t>
                      </w:r>
                      <w:r w:rsidR="00345CB4">
                        <w:rPr>
                          <w:b/>
                          <w:color w:val="00B0F0"/>
                          <w:lang w:val="en-US"/>
                        </w:rPr>
                        <w:t xml:space="preserve"> INDICATORS AT THE END OF DECEM</w:t>
                      </w:r>
                      <w:r w:rsidR="00B80683">
                        <w:rPr>
                          <w:b/>
                          <w:color w:val="00B0F0"/>
                          <w:lang w:val="en-US"/>
                        </w:rPr>
                        <w:t xml:space="preserve">BER </w:t>
                      </w:r>
                      <w:r>
                        <w:rPr>
                          <w:b/>
                          <w:color w:val="00B0F0"/>
                          <w:lang w:val="en-US"/>
                        </w:rPr>
                        <w:t>2022</w:t>
                      </w:r>
                    </w:p>
                  </w:txbxContent>
                </v:textbox>
              </v:roundrect>
            </w:pict>
          </mc:Fallback>
        </mc:AlternateContent>
      </w:r>
    </w:p>
    <w:p w:rsidR="00320209" w:rsidRPr="001E3E0D" w:rsidRDefault="00424709" w:rsidP="00277B6D">
      <w:pPr>
        <w:pStyle w:val="Titre2"/>
        <w:tabs>
          <w:tab w:val="right" w:pos="9026"/>
        </w:tabs>
        <w:spacing w:after="120" w:line="360" w:lineRule="auto"/>
        <w:rPr>
          <w:rFonts w:ascii="Garamond" w:hAnsi="Garamond" w:cs="Calibri"/>
          <w:color w:val="5B9BD5" w:themeColor="accent1"/>
          <w:sz w:val="22"/>
          <w:szCs w:val="22"/>
          <w:lang w:val="en-US" w:eastAsia="fr-FR"/>
        </w:rPr>
      </w:pPr>
      <w:r w:rsidRPr="001E3E0D">
        <w:rPr>
          <w:rFonts w:ascii="Garamond" w:hAnsi="Garamond" w:cs="Calibri"/>
          <w:color w:val="5B9BD5" w:themeColor="accent1"/>
          <w:sz w:val="22"/>
          <w:szCs w:val="22"/>
          <w:lang w:val="en-US" w:eastAsia="fr-FR"/>
        </w:rPr>
        <w:lastRenderedPageBreak/>
        <w:t xml:space="preserve">APPENDIX 2: MAIN </w:t>
      </w:r>
      <w:r w:rsidR="00276F1B" w:rsidRPr="001E3E0D">
        <w:rPr>
          <w:rFonts w:ascii="Garamond" w:hAnsi="Garamond" w:cs="Calibri"/>
          <w:color w:val="5B9BD5" w:themeColor="accent1"/>
          <w:sz w:val="22"/>
          <w:szCs w:val="22"/>
          <w:lang w:val="en-US" w:eastAsia="fr-FR"/>
        </w:rPr>
        <w:t>INDICATORS OF BANKING SECTOR IN MAY 2023</w:t>
      </w:r>
      <w:r w:rsidRPr="001E3E0D">
        <w:rPr>
          <w:rFonts w:ascii="Garamond" w:hAnsi="Garamond" w:cs="Calibri"/>
          <w:color w:val="5B9BD5" w:themeColor="accent1"/>
          <w:sz w:val="22"/>
          <w:szCs w:val="22"/>
          <w:lang w:val="en-US" w:eastAsia="fr-FR"/>
        </w:rPr>
        <w:t xml:space="preserve"> (in BIF million</w:t>
      </w:r>
      <w:bookmarkStart w:id="30" w:name="_MON_1595158634"/>
      <w:bookmarkEnd w:id="30"/>
      <w:r w:rsidRPr="001E3E0D">
        <w:rPr>
          <w:rFonts w:ascii="Garamond" w:hAnsi="Garamond" w:cs="Calibri"/>
          <w:color w:val="5B9BD5" w:themeColor="accent1"/>
          <w:sz w:val="22"/>
          <w:szCs w:val="22"/>
          <w:lang w:val="en-US" w:eastAsia="fr-FR"/>
        </w:rPr>
        <w:t>)</w:t>
      </w:r>
    </w:p>
    <w:p w:rsidR="002C4A8B" w:rsidRPr="001707C0" w:rsidRDefault="00276F1B" w:rsidP="00BA5147">
      <w:pPr>
        <w:rPr>
          <w:rFonts w:ascii="Garamond" w:hAnsi="Garamond"/>
          <w:color w:val="FF0000"/>
          <w:lang w:val="en-US" w:eastAsia="fr-FR"/>
        </w:rPr>
      </w:pPr>
      <w:r w:rsidRPr="001707C0">
        <w:rPr>
          <w:rFonts w:ascii="Garamond" w:hAnsi="Garamond"/>
          <w:color w:val="FF0000"/>
          <w:lang w:val="en-US" w:eastAsia="fr-FR"/>
        </w:rPr>
        <w:object w:dxaOrig="13378" w:dyaOrig="15118">
          <v:shape id="_x0000_i1027" type="#_x0000_t75" style="width:473.25pt;height:623.25pt" o:ole="">
            <v:imagedata r:id="rId17" o:title=""/>
          </v:shape>
          <o:OLEObject Type="Embed" ProgID="Excel.Sheet.12" ShapeID="_x0000_i1027" DrawAspect="Content" ObjectID="_1761111990" r:id="rId18"/>
        </w:object>
      </w:r>
    </w:p>
    <w:p w:rsidR="00BA5147" w:rsidRPr="001707C0" w:rsidRDefault="00F60043" w:rsidP="00BA5147">
      <w:pPr>
        <w:rPr>
          <w:rFonts w:ascii="Garamond" w:hAnsi="Garamond"/>
          <w:color w:val="000000" w:themeColor="text1"/>
          <w:lang w:val="en-US" w:eastAsia="fr-FR"/>
        </w:rPr>
      </w:pPr>
      <w:r w:rsidRPr="001707C0">
        <w:rPr>
          <w:rFonts w:ascii="Garamond" w:hAnsi="Garamond"/>
          <w:b/>
          <w:color w:val="000000" w:themeColor="text1"/>
          <w:lang w:val="en-US" w:eastAsia="fr-FR"/>
        </w:rPr>
        <w:t>Source: BRB</w:t>
      </w:r>
    </w:p>
    <w:tbl>
      <w:tblPr>
        <w:tblpPr w:leftFromText="141" w:rightFromText="141" w:horzAnchor="margin" w:tblpXSpec="center" w:tblpY="-230"/>
        <w:tblW w:w="10465" w:type="dxa"/>
        <w:tblLook w:val="04A0" w:firstRow="1" w:lastRow="0" w:firstColumn="1" w:lastColumn="0" w:noHBand="0" w:noVBand="1"/>
      </w:tblPr>
      <w:tblGrid>
        <w:gridCol w:w="10465"/>
      </w:tblGrid>
      <w:tr w:rsidR="003A0E6C" w:rsidRPr="001707C0" w:rsidTr="00A56DA2">
        <w:trPr>
          <w:trHeight w:val="227"/>
        </w:trPr>
        <w:tc>
          <w:tcPr>
            <w:tcW w:w="10465" w:type="dxa"/>
            <w:tcBorders>
              <w:top w:val="nil"/>
              <w:left w:val="nil"/>
              <w:bottom w:val="nil"/>
              <w:right w:val="nil"/>
            </w:tcBorders>
            <w:shd w:val="clear" w:color="000000" w:fill="FFFFFF"/>
            <w:noWrap/>
            <w:vAlign w:val="bottom"/>
          </w:tcPr>
          <w:p w:rsidR="00424709" w:rsidRPr="001707C0" w:rsidRDefault="002C4A8B" w:rsidP="002C4A8B">
            <w:pPr>
              <w:spacing w:before="240" w:after="0" w:line="360" w:lineRule="auto"/>
              <w:jc w:val="both"/>
              <w:rPr>
                <w:rFonts w:ascii="Garamond" w:hAnsi="Garamond" w:cs="Calibri"/>
                <w:color w:val="FF0000"/>
                <w:lang w:val="en-US"/>
              </w:rPr>
            </w:pPr>
            <w:r w:rsidRPr="001707C0">
              <w:rPr>
                <w:rFonts w:ascii="Garamond" w:hAnsi="Garamond" w:cs="Calibri"/>
                <w:noProof/>
                <w:color w:val="FF0000"/>
                <w:lang w:eastAsia="fr-FR"/>
              </w:rPr>
              <w:lastRenderedPageBreak/>
              <mc:AlternateContent>
                <mc:Choice Requires="wps">
                  <w:drawing>
                    <wp:anchor distT="0" distB="0" distL="114300" distR="114300" simplePos="0" relativeHeight="251669504" behindDoc="0" locked="0" layoutInCell="1" allowOverlap="1" wp14:anchorId="4273C7EF" wp14:editId="6EC9E9AC">
                      <wp:simplePos x="0" y="0"/>
                      <wp:positionH relativeFrom="column">
                        <wp:posOffset>15240</wp:posOffset>
                      </wp:positionH>
                      <wp:positionV relativeFrom="paragraph">
                        <wp:posOffset>8462645</wp:posOffset>
                      </wp:positionV>
                      <wp:extent cx="985520" cy="311150"/>
                      <wp:effectExtent l="0" t="0" r="5080" b="0"/>
                      <wp:wrapNone/>
                      <wp:docPr id="14" name="Rectangle à coins arrondis 14"/>
                      <wp:cNvGraphicFramePr/>
                      <a:graphic xmlns:a="http://schemas.openxmlformats.org/drawingml/2006/main">
                        <a:graphicData uri="http://schemas.microsoft.com/office/word/2010/wordprocessingShape">
                          <wps:wsp>
                            <wps:cNvSpPr/>
                            <wps:spPr>
                              <a:xfrm>
                                <a:off x="0" y="0"/>
                                <a:ext cx="985520" cy="311150"/>
                              </a:xfrm>
                              <a:prstGeom prst="roundRect">
                                <a:avLst/>
                              </a:prstGeom>
                              <a:ln>
                                <a:noFill/>
                              </a:ln>
                            </wps:spPr>
                            <wps:style>
                              <a:lnRef idx="2">
                                <a:schemeClr val="accent6"/>
                              </a:lnRef>
                              <a:fillRef idx="1">
                                <a:schemeClr val="lt1"/>
                              </a:fillRef>
                              <a:effectRef idx="0">
                                <a:schemeClr val="accent6"/>
                              </a:effectRef>
                              <a:fontRef idx="minor">
                                <a:schemeClr val="dk1"/>
                              </a:fontRef>
                            </wps:style>
                            <wps:txbx>
                              <w:txbxContent>
                                <w:p w:rsidR="00892842" w:rsidRPr="009C1CEC" w:rsidRDefault="008860FC" w:rsidP="00424709">
                                  <w:pPr>
                                    <w:jc w:val="center"/>
                                    <w:rPr>
                                      <w:b/>
                                    </w:rPr>
                                  </w:pPr>
                                  <w:r w:rsidRPr="009C1CEC">
                                    <w:rPr>
                                      <w:b/>
                                    </w:rPr>
                                    <w:t>Source :</w:t>
                                  </w:r>
                                  <w:r w:rsidR="00892842" w:rsidRPr="009C1CEC">
                                    <w:rPr>
                                      <w:b/>
                                    </w:rPr>
                                    <w:t xml:space="preserve"> BRB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273C7EF" id="Rectangle à coins arrondis 14" o:spid="_x0000_s1028" style="position:absolute;left:0;text-align:left;margin-left:1.2pt;margin-top:666.35pt;width:77.6pt;height:2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ZcijgIAAFQFAAAOAAAAZHJzL2Uyb0RvYy54bWysVM1u2zAMvg/YOwi6r46zpGuDOkXQosOA&#10;og3aDj0rspQYk0WNUmJnT7N32YuNkh2363IadpElkx9/P/Lisq0N2yn0FdiC5ycjzpSVUFZ2XfCv&#10;TzcfzjjzQdhSGLCq4Hvl+eX8/buLxs3UGDZgSoWMjFg/a1zBNyG4WZZ5uVG18CfglCWhBqxFoCeu&#10;sxJFQ9Zrk41Ho9OsASwdglTe09/rTsjnyb7WSoZ7rb0KzBScYgvpxHSu4pnNL8RsjcJtKtmHIf4h&#10;ilpUlpwOpq5FEGyL1V+m6koieNDhREKdgdaVVCkHyiYfvcnmcSOcSrlQcbwbyuT/n1l5t1siq0rq&#10;3YQzK2rq0QNVTdi1UezXTyahsp4JRLBl5RlpUcka52eEfHRL7F+erjH/VmMdv5QZa1OZ90OZVRuY&#10;pJ/nZ9PpmJohSfQxz/NpakP2Anbow2cFNYuXgiNsbRmDShUWu1sfyCvpH/SiQ2PjaeGmMqaTxj9Z&#10;jLSLLd3C3qhO+0FpSpuiGSeriXDqyiDbCaKKkFLZcBpzJT/GknaEaTI+APNjQBPyHtTrRphKRByA&#10;o2PAPz0OiOQVbBjAdWUBjxkovw2eO/1D9l3OMf3QrtrU6/GhiSso99R/hG4wvJM3FdX8VviwFEiT&#10;QG2i6Q73dGgDTcGhv3G2Afxx7H/UJ4KSlLOGJqvg/vtWoOLMfLFE3fN8MomjmB6T6adIBXwtWb2W&#10;2G19BdSRnPaIk+ka9YM5XDVC/UxLYBG9kkhYSb4LLgMeHlehm3haI1ItFkmNxs+JcGsfnYzGY50j&#10;nZ7aZ4GuJ14gxt7BYQrF7A31Ot2ItLDYBtBV4mWsdFfXvgM0uolG/ZqJu+H1O2m9LMP5bwAAAP//&#10;AwBQSwMEFAAGAAgAAAAhAHcVRY/eAAAACwEAAA8AAABkcnMvZG93bnJldi54bWxMj7FOwzAQhnck&#10;3sE6JDbqNIEmSuNUqCJTB6CU3bXdOKp9jmy3DW+PM8F4/33677tmM1lDrsqHwSGD5SIDolA4OWDP&#10;4PDVPVVAQuQouXGoGPyoAJv2/q7htXQ3/FTXfexJKsFQcwY6xrGmNAitLA8LNypMu5Pzlsc0+p5K&#10;z2+p3BqaZ9mKWj5guqD5qLZaifP+Yhm8f3fbj14Uldydd4fuzZS6Ep6xx4fpdQ0kqin+wTDrJ3Vo&#10;k9PRXVAGYhjkzwlMcVHkJZAZeClXQI5zVC1LoG1D///Q/gIAAP//AwBQSwECLQAUAAYACAAAACEA&#10;toM4kv4AAADhAQAAEwAAAAAAAAAAAAAAAAAAAAAAW0NvbnRlbnRfVHlwZXNdLnhtbFBLAQItABQA&#10;BgAIAAAAIQA4/SH/1gAAAJQBAAALAAAAAAAAAAAAAAAAAC8BAABfcmVscy8ucmVsc1BLAQItABQA&#10;BgAIAAAAIQCX7ZcijgIAAFQFAAAOAAAAAAAAAAAAAAAAAC4CAABkcnMvZTJvRG9jLnhtbFBLAQIt&#10;ABQABgAIAAAAIQB3FUWP3gAAAAsBAAAPAAAAAAAAAAAAAAAAAOgEAABkcnMvZG93bnJldi54bWxQ&#10;SwUGAAAAAAQABADzAAAA8wUAAAAA&#10;" fillcolor="white [3201]" stroked="f" strokeweight="1pt">
                      <v:stroke joinstyle="miter"/>
                      <v:textbox>
                        <w:txbxContent>
                          <w:p w:rsidR="00892842" w:rsidRPr="009C1CEC" w:rsidRDefault="008860FC" w:rsidP="00424709">
                            <w:pPr>
                              <w:jc w:val="center"/>
                              <w:rPr>
                                <w:b/>
                              </w:rPr>
                            </w:pPr>
                            <w:r w:rsidRPr="009C1CEC">
                              <w:rPr>
                                <w:b/>
                              </w:rPr>
                              <w:t>Source :</w:t>
                            </w:r>
                            <w:r w:rsidR="00892842" w:rsidRPr="009C1CEC">
                              <w:rPr>
                                <w:b/>
                              </w:rPr>
                              <w:t xml:space="preserve"> BRB</w:t>
                            </w:r>
                          </w:p>
                        </w:txbxContent>
                      </v:textbox>
                    </v:roundrect>
                  </w:pict>
                </mc:Fallback>
              </mc:AlternateContent>
            </w:r>
            <w:r w:rsidR="00424709" w:rsidRPr="001707C0">
              <w:rPr>
                <w:rFonts w:ascii="Garamond" w:hAnsi="Garamond"/>
                <w:noProof/>
                <w:color w:val="FF0000"/>
                <w:lang w:eastAsia="fr-FR"/>
              </w:rPr>
              <mc:AlternateContent>
                <mc:Choice Requires="wps">
                  <w:drawing>
                    <wp:anchor distT="0" distB="0" distL="114300" distR="114300" simplePos="0" relativeHeight="251668480" behindDoc="0" locked="0" layoutInCell="1" allowOverlap="1" wp14:anchorId="656186C3" wp14:editId="697BC4B9">
                      <wp:simplePos x="0" y="0"/>
                      <wp:positionH relativeFrom="column">
                        <wp:posOffset>33655</wp:posOffset>
                      </wp:positionH>
                      <wp:positionV relativeFrom="paragraph">
                        <wp:posOffset>-384175</wp:posOffset>
                      </wp:positionV>
                      <wp:extent cx="5033010" cy="317500"/>
                      <wp:effectExtent l="0" t="0" r="0" b="6350"/>
                      <wp:wrapNone/>
                      <wp:docPr id="12" name="Rectangle à coins arrondis 12"/>
                      <wp:cNvGraphicFramePr/>
                      <a:graphic xmlns:a="http://schemas.openxmlformats.org/drawingml/2006/main">
                        <a:graphicData uri="http://schemas.microsoft.com/office/word/2010/wordprocessingShape">
                          <wps:wsp>
                            <wps:cNvSpPr/>
                            <wps:spPr>
                              <a:xfrm>
                                <a:off x="0" y="0"/>
                                <a:ext cx="5033010" cy="317500"/>
                              </a:xfrm>
                              <a:prstGeom prst="roundRect">
                                <a:avLst/>
                              </a:prstGeom>
                              <a:ln>
                                <a:noFill/>
                              </a:ln>
                            </wps:spPr>
                            <wps:style>
                              <a:lnRef idx="2">
                                <a:schemeClr val="accent6"/>
                              </a:lnRef>
                              <a:fillRef idx="1">
                                <a:schemeClr val="lt1"/>
                              </a:fillRef>
                              <a:effectRef idx="0">
                                <a:schemeClr val="accent6"/>
                              </a:effectRef>
                              <a:fontRef idx="minor">
                                <a:schemeClr val="dk1"/>
                              </a:fontRef>
                            </wps:style>
                            <wps:txbx>
                              <w:txbxContent>
                                <w:p w:rsidR="00892842" w:rsidRPr="00400CAA" w:rsidRDefault="00892842" w:rsidP="00424709">
                                  <w:pPr>
                                    <w:rPr>
                                      <w:b/>
                                      <w:color w:val="00B0F0"/>
                                    </w:rPr>
                                  </w:pPr>
                                  <w:r w:rsidRPr="00400CAA">
                                    <w:rPr>
                                      <w:b/>
                                      <w:color w:val="00B0F0"/>
                                    </w:rPr>
                                    <w:t>APPENDIX 3: SELECTED</w:t>
                                  </w:r>
                                  <w:r w:rsidRPr="00E50108">
                                    <w:rPr>
                                      <w:b/>
                                      <w:color w:val="00B0F0"/>
                                    </w:rPr>
                                    <w:t xml:space="preserve"> </w:t>
                                  </w:r>
                                  <w:r w:rsidRPr="00151FFE">
                                    <w:rPr>
                                      <w:b/>
                                      <w:color w:val="00B0F0"/>
                                    </w:rPr>
                                    <w:t>ANNUAL INDICATORS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56186C3" id="Rectangle à coins arrondis 12" o:spid="_x0000_s1029" style="position:absolute;left:0;text-align:left;margin-left:2.65pt;margin-top:-30.25pt;width:396.3pt;height: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OX8jgIAAFUFAAAOAAAAZHJzL2Uyb0RvYy54bWysVM1u2zAMvg/YOwi6r7aT/mxBnSJo0WFA&#10;0RZth54VWU6EyaJGKbGzp9m77MVGyY7bdTkNu8ik+U9+5PlF1xi2Veg12JIXRzlnykqotF2V/OvT&#10;9YePnPkgbCUMWFXynfL8Yv7+3XnrZmoCazCVQkZOrJ+1ruTrENwsy7xcq0b4I3DKkrAGbEQgFldZ&#10;haIl743JJnl+mrWAlUOQynv6e9UL+Tz5r2slw11dexWYKTnlFtKL6V3GN5ufi9kKhVtrOaQh/iGL&#10;RmhLQUdXVyIItkH9l6tGSwQPdTiS0GRQ11qqVANVU+RvqnlcC6dSLdQc78Y2+f/nVt5u75HpimY3&#10;4cyKhmb0QF0TdmUU+/WTSdDWM4EIttKekRa1rHV+RpaP7h4HzhMZ6+9qbOKXKmNdavNubLPqApP0&#10;8ySfTqlYziTJpsXZSZ7mkL1YO/Ths4KGRaLkCBtbxaxSi8X2xgcKS/p7vRjR2PhauNbG9NL4J4up&#10;9sklKuyM6rUfVE11UzqT5DUhTl0aZFtBWBFSKhtOY7EUx1jSjmY1OR8Ni0OGJhSD0aAbzVRC4miY&#10;HzL8M+JokaKCDaNxoy3gIQfVtzFyr7+vvq85lh+6ZZeGPd1PcQnVjgCA0G+Gd/JaU89vhA/3AmkV&#10;aEy03uGOntpAW3IYKM7WgD8O/Y/6hFCSctbSapXcf98IVJyZL5aw+6k4Po67mJjjk7MJMfhasnwt&#10;sZvmEmgiBR0SJxMZ9YPZkzVC80xXYBGjkkhYSbFLLgPumcvQrzzdEakWi6RG++dEuLGPTkbnsc8R&#10;Tk/ds0A3AC8QZG9hv4Zi9gZ6vW60tLDYBKh1wmXsdN/XYQK0uwlGw52Jx+E1n7ReruH8NwAAAP//&#10;AwBQSwMEFAAGAAgAAAAhAIhCoQvdAAAACQEAAA8AAABkcnMvZG93bnJldi54bWxMj81uwjAQhO+V&#10;+g7WIvUGDkWQkMZBFWpOHNpSejf2Ekf4J4oNpG/f7akcd2Y0+021GZ1lVxxiF7yA+SwDhl4F3flW&#10;wOGrmRbAYpJeSxs8CvjBCJv68aGSpQ43/4nXfWoZlfhYSgEmpb7kPCqDTsZZ6NGTdwqDk4nOoeV6&#10;kDcqd5Y/Z9mKO9l5+mBkj1uD6ry/OAHv3832o1WLQu/Ou0PzZnNTqEGIp8n4+gIs4Zj+w/CHT+hQ&#10;E9MxXLyOzApYLigoYLrKlsDIz9f5GtiRlDkpvK74/YL6FwAA//8DAFBLAQItABQABgAIAAAAIQC2&#10;gziS/gAAAOEBAAATAAAAAAAAAAAAAAAAAAAAAABbQ29udGVudF9UeXBlc10ueG1sUEsBAi0AFAAG&#10;AAgAAAAhADj9If/WAAAAlAEAAAsAAAAAAAAAAAAAAAAALwEAAF9yZWxzLy5yZWxzUEsBAi0AFAAG&#10;AAgAAAAhANNY5fyOAgAAVQUAAA4AAAAAAAAAAAAAAAAALgIAAGRycy9lMm9Eb2MueG1sUEsBAi0A&#10;FAAGAAgAAAAhAIhCoQvdAAAACQEAAA8AAAAAAAAAAAAAAAAA6AQAAGRycy9kb3ducmV2LnhtbFBL&#10;BQYAAAAABAAEAPMAAADyBQAAAAA=&#10;" fillcolor="white [3201]" stroked="f" strokeweight="1pt">
                      <v:stroke joinstyle="miter"/>
                      <v:textbox>
                        <w:txbxContent>
                          <w:p w:rsidR="00892842" w:rsidRPr="00400CAA" w:rsidRDefault="00892842" w:rsidP="00424709">
                            <w:pPr>
                              <w:rPr>
                                <w:b/>
                                <w:color w:val="00B0F0"/>
                              </w:rPr>
                            </w:pPr>
                            <w:r w:rsidRPr="00400CAA">
                              <w:rPr>
                                <w:b/>
                                <w:color w:val="00B0F0"/>
                              </w:rPr>
                              <w:t>APPENDIX 3: SELECTED</w:t>
                            </w:r>
                            <w:r w:rsidRPr="00E50108">
                              <w:rPr>
                                <w:b/>
                                <w:color w:val="00B0F0"/>
                              </w:rPr>
                              <w:t xml:space="preserve"> </w:t>
                            </w:r>
                            <w:r w:rsidRPr="00151FFE">
                              <w:rPr>
                                <w:b/>
                                <w:color w:val="00B0F0"/>
                              </w:rPr>
                              <w:t>ANNUAL INDICATORS</w:t>
                            </w:r>
                          </w:p>
                        </w:txbxContent>
                      </v:textbox>
                    </v:roundrect>
                  </w:pict>
                </mc:Fallback>
              </mc:AlternateContent>
            </w:r>
            <w:r w:rsidR="00BC7E94" w:rsidRPr="001707C0">
              <w:rPr>
                <w:rFonts w:ascii="Garamond" w:hAnsi="Garamond"/>
                <w:color w:val="FF0000"/>
                <w:lang w:val="en-US" w:eastAsia="fr-FR"/>
              </w:rPr>
              <w:object w:dxaOrig="10877" w:dyaOrig="14359">
                <v:shape id="_x0000_i1028" type="#_x0000_t75" style="width:493.5pt;height:651.75pt" o:ole="">
                  <v:imagedata r:id="rId19" o:title=""/>
                </v:shape>
                <o:OLEObject Type="Embed" ProgID="Excel.Sheet.12" ShapeID="_x0000_i1028" DrawAspect="Content" ObjectID="_1761111991" r:id="rId20"/>
              </w:object>
            </w:r>
          </w:p>
        </w:tc>
      </w:tr>
    </w:tbl>
    <w:p w:rsidR="00424709" w:rsidRPr="001707C0" w:rsidRDefault="00424709" w:rsidP="00EC1CB2">
      <w:pPr>
        <w:rPr>
          <w:rFonts w:ascii="Garamond" w:hAnsi="Garamond" w:cs="Calibri"/>
          <w:color w:val="FF0000"/>
          <w:lang w:val="en-US"/>
        </w:rPr>
      </w:pPr>
    </w:p>
    <w:sectPr w:rsidR="00424709" w:rsidRPr="001707C0" w:rsidSect="006442D5">
      <w:headerReference w:type="default" r:id="rId21"/>
      <w:footerReference w:type="default" r:id="rId22"/>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08FA" w:rsidRDefault="00A208FA" w:rsidP="00424709">
      <w:pPr>
        <w:spacing w:after="0" w:line="240" w:lineRule="auto"/>
      </w:pPr>
      <w:r>
        <w:separator/>
      </w:r>
    </w:p>
  </w:endnote>
  <w:endnote w:type="continuationSeparator" w:id="0">
    <w:p w:rsidR="00A208FA" w:rsidRDefault="00A208FA" w:rsidP="004247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2842" w:rsidRDefault="00892842">
    <w:pPr>
      <w:pStyle w:val="Pieddepage"/>
      <w:jc w:val="center"/>
    </w:pPr>
    <w:r>
      <w:fldChar w:fldCharType="begin"/>
    </w:r>
    <w:r>
      <w:instrText>PAGE   \* MERGEFORMAT</w:instrText>
    </w:r>
    <w:r>
      <w:fldChar w:fldCharType="separate"/>
    </w:r>
    <w:r>
      <w:rPr>
        <w:noProof/>
      </w:rPr>
      <w:t>1</w:t>
    </w:r>
    <w:r>
      <w:fldChar w:fldCharType="end"/>
    </w:r>
  </w:p>
  <w:p w:rsidR="00892842" w:rsidRDefault="00892842">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6092731"/>
      <w:docPartObj>
        <w:docPartGallery w:val="Page Numbers (Bottom of Page)"/>
        <w:docPartUnique/>
      </w:docPartObj>
    </w:sdtPr>
    <w:sdtEndPr>
      <w:rPr>
        <w:noProof/>
      </w:rPr>
    </w:sdtEndPr>
    <w:sdtContent>
      <w:p w:rsidR="00851696" w:rsidRDefault="00851696">
        <w:pPr>
          <w:pStyle w:val="Pieddepage"/>
          <w:jc w:val="center"/>
        </w:pPr>
        <w:r>
          <w:fldChar w:fldCharType="begin"/>
        </w:r>
        <w:r>
          <w:instrText xml:space="preserve"> PAGE   \* MERGEFORMAT </w:instrText>
        </w:r>
        <w:r>
          <w:fldChar w:fldCharType="separate"/>
        </w:r>
        <w:r w:rsidR="0022075B">
          <w:rPr>
            <w:noProof/>
          </w:rPr>
          <w:t>9</w:t>
        </w:r>
        <w:r>
          <w:rPr>
            <w:noProof/>
          </w:rPr>
          <w:fldChar w:fldCharType="end"/>
        </w:r>
      </w:p>
    </w:sdtContent>
  </w:sdt>
  <w:p w:rsidR="00851696" w:rsidRDefault="00851696" w:rsidP="00851696">
    <w:pPr>
      <w:pStyle w:val="Pieddepage"/>
      <w:tabs>
        <w:tab w:val="clear" w:pos="4536"/>
        <w:tab w:val="clear" w:pos="9072"/>
        <w:tab w:val="left" w:pos="3000"/>
      </w:tabs>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7699805"/>
      <w:docPartObj>
        <w:docPartGallery w:val="Page Numbers (Bottom of Page)"/>
        <w:docPartUnique/>
      </w:docPartObj>
    </w:sdtPr>
    <w:sdtEndPr>
      <w:rPr>
        <w:noProof/>
      </w:rPr>
    </w:sdtEndPr>
    <w:sdtContent>
      <w:p w:rsidR="00851696" w:rsidRDefault="00851696">
        <w:pPr>
          <w:pStyle w:val="Pieddepage"/>
          <w:jc w:val="center"/>
        </w:pPr>
        <w:r>
          <w:fldChar w:fldCharType="begin"/>
        </w:r>
        <w:r>
          <w:instrText xml:space="preserve"> PAGE   \* MERGEFORMAT </w:instrText>
        </w:r>
        <w:r>
          <w:fldChar w:fldCharType="separate"/>
        </w:r>
        <w:r w:rsidR="0022075B">
          <w:rPr>
            <w:noProof/>
          </w:rPr>
          <w:t>1</w:t>
        </w:r>
        <w:r>
          <w:rPr>
            <w:noProof/>
          </w:rPr>
          <w:fldChar w:fldCharType="end"/>
        </w:r>
      </w:p>
    </w:sdtContent>
  </w:sdt>
  <w:p w:rsidR="002359C3" w:rsidRDefault="002359C3" w:rsidP="00E35EE7">
    <w:pPr>
      <w:pStyle w:val="Pieddepage"/>
      <w:jc w:val="cen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7099881"/>
      <w:docPartObj>
        <w:docPartGallery w:val="Page Numbers (Bottom of Page)"/>
        <w:docPartUnique/>
      </w:docPartObj>
    </w:sdtPr>
    <w:sdtEndPr>
      <w:rPr>
        <w:noProof/>
      </w:rPr>
    </w:sdtEndPr>
    <w:sdtContent>
      <w:p w:rsidR="00851696" w:rsidRDefault="00851696">
        <w:pPr>
          <w:pStyle w:val="Pieddepage"/>
          <w:jc w:val="center"/>
        </w:pPr>
        <w:r>
          <w:fldChar w:fldCharType="begin"/>
        </w:r>
        <w:r>
          <w:instrText xml:space="preserve"> PAGE   \* MERGEFORMAT </w:instrText>
        </w:r>
        <w:r>
          <w:fldChar w:fldCharType="separate"/>
        </w:r>
        <w:r w:rsidR="0022075B">
          <w:rPr>
            <w:noProof/>
          </w:rPr>
          <w:t>12</w:t>
        </w:r>
        <w:r>
          <w:rPr>
            <w:noProof/>
          </w:rPr>
          <w:fldChar w:fldCharType="end"/>
        </w:r>
      </w:p>
    </w:sdtContent>
  </w:sdt>
  <w:p w:rsidR="00892842" w:rsidRPr="00E35EE7" w:rsidRDefault="00892842" w:rsidP="00851696">
    <w:pPr>
      <w:pStyle w:val="Pieddepag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08FA" w:rsidRDefault="00A208FA" w:rsidP="00424709">
      <w:pPr>
        <w:spacing w:after="0" w:line="240" w:lineRule="auto"/>
      </w:pPr>
      <w:r>
        <w:separator/>
      </w:r>
    </w:p>
  </w:footnote>
  <w:footnote w:type="continuationSeparator" w:id="0">
    <w:p w:rsidR="00A208FA" w:rsidRDefault="00A208FA" w:rsidP="00424709">
      <w:pPr>
        <w:spacing w:after="0" w:line="240" w:lineRule="auto"/>
      </w:pPr>
      <w:r>
        <w:continuationSeparator/>
      </w:r>
    </w:p>
  </w:footnote>
  <w:footnote w:id="1">
    <w:p w:rsidR="00F353F0" w:rsidRPr="009D1B34" w:rsidRDefault="00F353F0" w:rsidP="00F353F0">
      <w:pPr>
        <w:pStyle w:val="Notedebasdepage"/>
        <w:rPr>
          <w:lang w:val="en-US"/>
        </w:rPr>
      </w:pPr>
      <w:r>
        <w:rPr>
          <w:rStyle w:val="Appelnotedebasdep"/>
        </w:rPr>
        <w:footnoteRef/>
      </w:r>
      <w:r w:rsidRPr="009D1B34">
        <w:rPr>
          <w:lang w:val="en-US"/>
        </w:rPr>
        <w:t xml:space="preserve"> </w:t>
      </w:r>
      <w:r w:rsidRPr="00786A92">
        <w:rPr>
          <w:rFonts w:ascii="Garamond" w:hAnsi="Garamond"/>
          <w:lang w:val="en-US"/>
        </w:rPr>
        <w:t>The minim</w:t>
      </w:r>
      <w:r>
        <w:rPr>
          <w:rFonts w:ascii="Garamond" w:hAnsi="Garamond"/>
          <w:lang w:val="en-US"/>
        </w:rPr>
        <w:t>um regulatory threshold is 12.5 percent</w:t>
      </w:r>
      <w:r w:rsidRPr="00786A92">
        <w:rPr>
          <w:rFonts w:ascii="Garamond" w:hAnsi="Garamond"/>
          <w:lang w:val="en-US"/>
        </w:rPr>
        <w:t xml:space="preserve"> for t</w:t>
      </w:r>
      <w:r>
        <w:rPr>
          <w:rFonts w:ascii="Garamond" w:hAnsi="Garamond"/>
          <w:lang w:val="en-US"/>
        </w:rPr>
        <w:t>he base solvency ratio and 14.5 percent</w:t>
      </w:r>
      <w:r w:rsidRPr="00786A92">
        <w:rPr>
          <w:rFonts w:ascii="Garamond" w:hAnsi="Garamond"/>
          <w:lang w:val="en-US"/>
        </w:rPr>
        <w:t xml:space="preserve"> for the overall solvency ratio).</w:t>
      </w:r>
    </w:p>
  </w:footnote>
  <w:footnote w:id="2">
    <w:p w:rsidR="00F353F0" w:rsidRPr="009D1B34" w:rsidRDefault="00F353F0" w:rsidP="00F353F0">
      <w:pPr>
        <w:pStyle w:val="Notedebasdepage"/>
        <w:rPr>
          <w:lang w:val="en-US"/>
        </w:rPr>
      </w:pPr>
      <w:r>
        <w:rPr>
          <w:rStyle w:val="Appelnotedebasdep"/>
        </w:rPr>
        <w:footnoteRef/>
      </w:r>
      <w:r w:rsidRPr="009D1B34">
        <w:rPr>
          <w:lang w:val="en-US"/>
        </w:rPr>
        <w:t xml:space="preserve"> </w:t>
      </w:r>
      <w:r>
        <w:rPr>
          <w:rFonts w:ascii="Garamond" w:hAnsi="Garamond"/>
          <w:lang w:val="en-US"/>
        </w:rPr>
        <w:t>The minimum threshold is 5 percent</w:t>
      </w:r>
      <w:r w:rsidRPr="00786A92">
        <w:rPr>
          <w:rFonts w:ascii="Garamond" w:hAnsi="Garamond"/>
          <w:lang w:val="en-US"/>
        </w:rPr>
        <w:t xml:space="preserve"> for the leverage ratio</w:t>
      </w:r>
    </w:p>
  </w:footnote>
  <w:footnote w:id="3">
    <w:p w:rsidR="00481EA0" w:rsidRPr="009D1B34" w:rsidRDefault="00481EA0" w:rsidP="00481EA0">
      <w:pPr>
        <w:pStyle w:val="Notedebasdepage"/>
        <w:rPr>
          <w:lang w:val="en-US"/>
        </w:rPr>
      </w:pPr>
      <w:r>
        <w:rPr>
          <w:rStyle w:val="Appelnotedebasdep"/>
        </w:rPr>
        <w:footnoteRef/>
      </w:r>
      <w:r w:rsidRPr="009D1B34">
        <w:rPr>
          <w:lang w:val="en-US"/>
        </w:rPr>
        <w:t xml:space="preserve"> </w:t>
      </w:r>
      <w:r w:rsidRPr="00786A92">
        <w:rPr>
          <w:rFonts w:ascii="Garamond" w:hAnsi="Garamond"/>
          <w:lang w:val="en-US"/>
        </w:rPr>
        <w:t>Circular n°06/2018 defines a large risk as a loan exceeding 10% of its core equity capital.</w:t>
      </w:r>
    </w:p>
  </w:footnote>
  <w:footnote w:id="4">
    <w:p w:rsidR="00481EA0" w:rsidRPr="009D1B34" w:rsidRDefault="00481EA0" w:rsidP="00481EA0">
      <w:pPr>
        <w:pStyle w:val="Notedebasdepage"/>
        <w:rPr>
          <w:lang w:val="en-US"/>
        </w:rPr>
      </w:pPr>
      <w:r>
        <w:rPr>
          <w:rStyle w:val="Appelnotedebasdep"/>
        </w:rPr>
        <w:footnoteRef/>
      </w:r>
      <w:r w:rsidRPr="009D1B34">
        <w:rPr>
          <w:lang w:val="en-US"/>
        </w:rPr>
        <w:t xml:space="preserve"> </w:t>
      </w:r>
      <w:r w:rsidRPr="00786A92">
        <w:rPr>
          <w:rFonts w:ascii="Garamond" w:hAnsi="Garamond"/>
          <w:lang w:val="en-US"/>
        </w:rPr>
        <w:t>Circular n°04/2018 defines LCR as the ratio between high-quality liquid assets (i.e. assets that can be easily and immediately converted into cash without or with a slight loss of value in periods of high liquidity stress) and the total net cash outflows within the following 30 days.</w:t>
      </w:r>
    </w:p>
  </w:footnote>
  <w:footnote w:id="5">
    <w:p w:rsidR="00481EA0" w:rsidRPr="009D1B34" w:rsidRDefault="00481EA0" w:rsidP="00481EA0">
      <w:pPr>
        <w:pStyle w:val="Notedebasdepage"/>
        <w:rPr>
          <w:lang w:val="en-US"/>
        </w:rPr>
      </w:pPr>
      <w:r>
        <w:rPr>
          <w:rStyle w:val="Appelnotedebasdep"/>
        </w:rPr>
        <w:footnoteRef/>
      </w:r>
      <w:r w:rsidRPr="009D1B34">
        <w:rPr>
          <w:lang w:val="en-US"/>
        </w:rPr>
        <w:t xml:space="preserve"> </w:t>
      </w:r>
      <w:r w:rsidRPr="00786A92">
        <w:rPr>
          <w:rFonts w:ascii="Garamond" w:hAnsi="Garamond"/>
          <w:lang w:val="en-US"/>
        </w:rPr>
        <w:t>Large deposits are the sum of the deposits of the first 10 depositors in each credit institution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5EE7" w:rsidRPr="00851696" w:rsidRDefault="00E35EE7" w:rsidP="00851696">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2842" w:rsidRDefault="00892842">
    <w:pPr>
      <w:pStyle w:val="En-tte"/>
      <w:jc w:val="center"/>
    </w:pPr>
  </w:p>
  <w:p w:rsidR="00892842" w:rsidRDefault="00892842">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709"/>
    <w:rsid w:val="00000986"/>
    <w:rsid w:val="000018CA"/>
    <w:rsid w:val="00003AB5"/>
    <w:rsid w:val="00011A1F"/>
    <w:rsid w:val="00012FD6"/>
    <w:rsid w:val="000138D9"/>
    <w:rsid w:val="00017A56"/>
    <w:rsid w:val="00022C60"/>
    <w:rsid w:val="00024A0A"/>
    <w:rsid w:val="0003010C"/>
    <w:rsid w:val="00032643"/>
    <w:rsid w:val="000336BB"/>
    <w:rsid w:val="00042BB6"/>
    <w:rsid w:val="00045947"/>
    <w:rsid w:val="00046572"/>
    <w:rsid w:val="0004713C"/>
    <w:rsid w:val="00047319"/>
    <w:rsid w:val="00052A3B"/>
    <w:rsid w:val="00053127"/>
    <w:rsid w:val="00056680"/>
    <w:rsid w:val="00057306"/>
    <w:rsid w:val="00063250"/>
    <w:rsid w:val="00064774"/>
    <w:rsid w:val="000704DD"/>
    <w:rsid w:val="00070F3C"/>
    <w:rsid w:val="00074D66"/>
    <w:rsid w:val="000818D6"/>
    <w:rsid w:val="00081C43"/>
    <w:rsid w:val="00082634"/>
    <w:rsid w:val="000842C6"/>
    <w:rsid w:val="0008448A"/>
    <w:rsid w:val="000866A9"/>
    <w:rsid w:val="000876A2"/>
    <w:rsid w:val="000963EF"/>
    <w:rsid w:val="00096869"/>
    <w:rsid w:val="000A1D9B"/>
    <w:rsid w:val="000A23D0"/>
    <w:rsid w:val="000A2B6E"/>
    <w:rsid w:val="000A525D"/>
    <w:rsid w:val="000A6696"/>
    <w:rsid w:val="000B3790"/>
    <w:rsid w:val="000B3EDA"/>
    <w:rsid w:val="000B40B2"/>
    <w:rsid w:val="000C210A"/>
    <w:rsid w:val="000C4598"/>
    <w:rsid w:val="000C664C"/>
    <w:rsid w:val="000C7C8F"/>
    <w:rsid w:val="000D2E9B"/>
    <w:rsid w:val="000D3656"/>
    <w:rsid w:val="000D5393"/>
    <w:rsid w:val="000D6792"/>
    <w:rsid w:val="000D770D"/>
    <w:rsid w:val="000F161C"/>
    <w:rsid w:val="000F1733"/>
    <w:rsid w:val="000F23F3"/>
    <w:rsid w:val="000F2C74"/>
    <w:rsid w:val="000F2FF1"/>
    <w:rsid w:val="000F52D4"/>
    <w:rsid w:val="000F63E2"/>
    <w:rsid w:val="00100F61"/>
    <w:rsid w:val="001063E2"/>
    <w:rsid w:val="00106CB1"/>
    <w:rsid w:val="001113E4"/>
    <w:rsid w:val="0011191A"/>
    <w:rsid w:val="00112D35"/>
    <w:rsid w:val="00113409"/>
    <w:rsid w:val="00113B13"/>
    <w:rsid w:val="0011621C"/>
    <w:rsid w:val="00117FC9"/>
    <w:rsid w:val="00125205"/>
    <w:rsid w:val="001263DE"/>
    <w:rsid w:val="0013188E"/>
    <w:rsid w:val="00131BCA"/>
    <w:rsid w:val="001343FC"/>
    <w:rsid w:val="00135AED"/>
    <w:rsid w:val="00136954"/>
    <w:rsid w:val="00136F55"/>
    <w:rsid w:val="00142FD4"/>
    <w:rsid w:val="001536D5"/>
    <w:rsid w:val="00155C12"/>
    <w:rsid w:val="00156731"/>
    <w:rsid w:val="001569DB"/>
    <w:rsid w:val="00157635"/>
    <w:rsid w:val="001613A5"/>
    <w:rsid w:val="00161471"/>
    <w:rsid w:val="0016242E"/>
    <w:rsid w:val="00164019"/>
    <w:rsid w:val="001707C0"/>
    <w:rsid w:val="00175266"/>
    <w:rsid w:val="00183F7E"/>
    <w:rsid w:val="00185CE1"/>
    <w:rsid w:val="00186FD1"/>
    <w:rsid w:val="001872C0"/>
    <w:rsid w:val="00195B95"/>
    <w:rsid w:val="001A0614"/>
    <w:rsid w:val="001B0AD6"/>
    <w:rsid w:val="001B12EC"/>
    <w:rsid w:val="001B2718"/>
    <w:rsid w:val="001C4989"/>
    <w:rsid w:val="001D4554"/>
    <w:rsid w:val="001D7649"/>
    <w:rsid w:val="001E3E0D"/>
    <w:rsid w:val="001E7DB2"/>
    <w:rsid w:val="001F0A64"/>
    <w:rsid w:val="001F246A"/>
    <w:rsid w:val="001F2BEC"/>
    <w:rsid w:val="001F6E7A"/>
    <w:rsid w:val="00203C1F"/>
    <w:rsid w:val="002130E0"/>
    <w:rsid w:val="0021415C"/>
    <w:rsid w:val="00214F98"/>
    <w:rsid w:val="0022075B"/>
    <w:rsid w:val="00221528"/>
    <w:rsid w:val="00231628"/>
    <w:rsid w:val="00231C5A"/>
    <w:rsid w:val="00232DE3"/>
    <w:rsid w:val="002359C3"/>
    <w:rsid w:val="00237BDD"/>
    <w:rsid w:val="00244C3F"/>
    <w:rsid w:val="0024616C"/>
    <w:rsid w:val="00255E74"/>
    <w:rsid w:val="002602D6"/>
    <w:rsid w:val="002611B4"/>
    <w:rsid w:val="00263459"/>
    <w:rsid w:val="002638C8"/>
    <w:rsid w:val="00273591"/>
    <w:rsid w:val="00273724"/>
    <w:rsid w:val="0027438A"/>
    <w:rsid w:val="00275792"/>
    <w:rsid w:val="00275A9C"/>
    <w:rsid w:val="00275CA1"/>
    <w:rsid w:val="00276F1B"/>
    <w:rsid w:val="0027778A"/>
    <w:rsid w:val="00277B6D"/>
    <w:rsid w:val="002851FA"/>
    <w:rsid w:val="00286B01"/>
    <w:rsid w:val="00287B9C"/>
    <w:rsid w:val="00291F71"/>
    <w:rsid w:val="00294679"/>
    <w:rsid w:val="002A0607"/>
    <w:rsid w:val="002A24DB"/>
    <w:rsid w:val="002A32C6"/>
    <w:rsid w:val="002A4003"/>
    <w:rsid w:val="002A4174"/>
    <w:rsid w:val="002A4D24"/>
    <w:rsid w:val="002A6D01"/>
    <w:rsid w:val="002A7171"/>
    <w:rsid w:val="002A7CAB"/>
    <w:rsid w:val="002B06BB"/>
    <w:rsid w:val="002B6492"/>
    <w:rsid w:val="002B68B1"/>
    <w:rsid w:val="002C008C"/>
    <w:rsid w:val="002C4A8B"/>
    <w:rsid w:val="002C4E73"/>
    <w:rsid w:val="002C6C28"/>
    <w:rsid w:val="002C6E5B"/>
    <w:rsid w:val="002D4B1D"/>
    <w:rsid w:val="002D7001"/>
    <w:rsid w:val="002E10FD"/>
    <w:rsid w:val="002E2BD2"/>
    <w:rsid w:val="002E37F9"/>
    <w:rsid w:val="002E3DE2"/>
    <w:rsid w:val="002E626B"/>
    <w:rsid w:val="002E78F5"/>
    <w:rsid w:val="002F0953"/>
    <w:rsid w:val="002F1585"/>
    <w:rsid w:val="002F1BE2"/>
    <w:rsid w:val="002F3651"/>
    <w:rsid w:val="002F71A5"/>
    <w:rsid w:val="00300767"/>
    <w:rsid w:val="00301E5E"/>
    <w:rsid w:val="00302D6B"/>
    <w:rsid w:val="0030319C"/>
    <w:rsid w:val="0030376C"/>
    <w:rsid w:val="003042D4"/>
    <w:rsid w:val="003114A9"/>
    <w:rsid w:val="00314266"/>
    <w:rsid w:val="00320209"/>
    <w:rsid w:val="0032500F"/>
    <w:rsid w:val="0033089A"/>
    <w:rsid w:val="003334C7"/>
    <w:rsid w:val="003337A0"/>
    <w:rsid w:val="00333CAD"/>
    <w:rsid w:val="003443ED"/>
    <w:rsid w:val="00345CB4"/>
    <w:rsid w:val="00347D83"/>
    <w:rsid w:val="0035423C"/>
    <w:rsid w:val="003602AF"/>
    <w:rsid w:val="00370179"/>
    <w:rsid w:val="003703B1"/>
    <w:rsid w:val="0037110C"/>
    <w:rsid w:val="00371E10"/>
    <w:rsid w:val="0037219F"/>
    <w:rsid w:val="003735D8"/>
    <w:rsid w:val="003746DC"/>
    <w:rsid w:val="00375952"/>
    <w:rsid w:val="003771AB"/>
    <w:rsid w:val="00383C10"/>
    <w:rsid w:val="00386402"/>
    <w:rsid w:val="00386CE9"/>
    <w:rsid w:val="00386D1E"/>
    <w:rsid w:val="003918E1"/>
    <w:rsid w:val="00396696"/>
    <w:rsid w:val="003A01CA"/>
    <w:rsid w:val="003A0E6C"/>
    <w:rsid w:val="003A1940"/>
    <w:rsid w:val="003A606D"/>
    <w:rsid w:val="003A69A5"/>
    <w:rsid w:val="003A6F73"/>
    <w:rsid w:val="003B2304"/>
    <w:rsid w:val="003B34CB"/>
    <w:rsid w:val="003C2E62"/>
    <w:rsid w:val="003C55B2"/>
    <w:rsid w:val="003C7D44"/>
    <w:rsid w:val="003D28FA"/>
    <w:rsid w:val="003D3709"/>
    <w:rsid w:val="003D7F25"/>
    <w:rsid w:val="003E0879"/>
    <w:rsid w:val="003E154C"/>
    <w:rsid w:val="003E2560"/>
    <w:rsid w:val="003E48AA"/>
    <w:rsid w:val="003E64AE"/>
    <w:rsid w:val="003E72DD"/>
    <w:rsid w:val="003F355C"/>
    <w:rsid w:val="003F4A37"/>
    <w:rsid w:val="0040237C"/>
    <w:rsid w:val="00403F1E"/>
    <w:rsid w:val="0041681E"/>
    <w:rsid w:val="00421FBE"/>
    <w:rsid w:val="00422053"/>
    <w:rsid w:val="00424709"/>
    <w:rsid w:val="00424915"/>
    <w:rsid w:val="00425FFB"/>
    <w:rsid w:val="004306BB"/>
    <w:rsid w:val="00433221"/>
    <w:rsid w:val="004352B1"/>
    <w:rsid w:val="00436528"/>
    <w:rsid w:val="00436A7F"/>
    <w:rsid w:val="00442116"/>
    <w:rsid w:val="00442E5A"/>
    <w:rsid w:val="004452A7"/>
    <w:rsid w:val="00445C5A"/>
    <w:rsid w:val="0044783C"/>
    <w:rsid w:val="00452C58"/>
    <w:rsid w:val="00456D5D"/>
    <w:rsid w:val="00456DCB"/>
    <w:rsid w:val="00457D7D"/>
    <w:rsid w:val="00460304"/>
    <w:rsid w:val="0046068C"/>
    <w:rsid w:val="00470C4D"/>
    <w:rsid w:val="00471920"/>
    <w:rsid w:val="00471977"/>
    <w:rsid w:val="004719F3"/>
    <w:rsid w:val="004806B6"/>
    <w:rsid w:val="0048070A"/>
    <w:rsid w:val="00481A55"/>
    <w:rsid w:val="00481EA0"/>
    <w:rsid w:val="00482725"/>
    <w:rsid w:val="00491A87"/>
    <w:rsid w:val="00494646"/>
    <w:rsid w:val="00494A69"/>
    <w:rsid w:val="00495454"/>
    <w:rsid w:val="0049592B"/>
    <w:rsid w:val="004A0009"/>
    <w:rsid w:val="004A252F"/>
    <w:rsid w:val="004A2E25"/>
    <w:rsid w:val="004A3054"/>
    <w:rsid w:val="004A3758"/>
    <w:rsid w:val="004A3DAB"/>
    <w:rsid w:val="004A58DD"/>
    <w:rsid w:val="004A6A4F"/>
    <w:rsid w:val="004A6C98"/>
    <w:rsid w:val="004B35BC"/>
    <w:rsid w:val="004B3D9D"/>
    <w:rsid w:val="004B472B"/>
    <w:rsid w:val="004B6162"/>
    <w:rsid w:val="004B6A66"/>
    <w:rsid w:val="004C2AB4"/>
    <w:rsid w:val="004C5C23"/>
    <w:rsid w:val="004C7731"/>
    <w:rsid w:val="004C7C77"/>
    <w:rsid w:val="004D261C"/>
    <w:rsid w:val="004D413F"/>
    <w:rsid w:val="004D575A"/>
    <w:rsid w:val="004E19D7"/>
    <w:rsid w:val="004E2059"/>
    <w:rsid w:val="004E4663"/>
    <w:rsid w:val="004E56BC"/>
    <w:rsid w:val="004F0BDE"/>
    <w:rsid w:val="004F277A"/>
    <w:rsid w:val="004F5B6E"/>
    <w:rsid w:val="004F74A3"/>
    <w:rsid w:val="00501A72"/>
    <w:rsid w:val="0051000E"/>
    <w:rsid w:val="00510FA2"/>
    <w:rsid w:val="00513BC5"/>
    <w:rsid w:val="0051403F"/>
    <w:rsid w:val="0051470D"/>
    <w:rsid w:val="00515CED"/>
    <w:rsid w:val="005168E3"/>
    <w:rsid w:val="0052510A"/>
    <w:rsid w:val="00525750"/>
    <w:rsid w:val="00527089"/>
    <w:rsid w:val="00527788"/>
    <w:rsid w:val="0052782D"/>
    <w:rsid w:val="00530649"/>
    <w:rsid w:val="0053076D"/>
    <w:rsid w:val="00530E0A"/>
    <w:rsid w:val="0053166D"/>
    <w:rsid w:val="00531E18"/>
    <w:rsid w:val="0053230C"/>
    <w:rsid w:val="005338E6"/>
    <w:rsid w:val="00535E8A"/>
    <w:rsid w:val="00542CF9"/>
    <w:rsid w:val="00543EFA"/>
    <w:rsid w:val="005464A2"/>
    <w:rsid w:val="005500BE"/>
    <w:rsid w:val="00551296"/>
    <w:rsid w:val="0055478F"/>
    <w:rsid w:val="00554A45"/>
    <w:rsid w:val="00554DD8"/>
    <w:rsid w:val="0055660F"/>
    <w:rsid w:val="00557079"/>
    <w:rsid w:val="00557EA6"/>
    <w:rsid w:val="00561D35"/>
    <w:rsid w:val="0056287F"/>
    <w:rsid w:val="00563FC4"/>
    <w:rsid w:val="00564801"/>
    <w:rsid w:val="005711F9"/>
    <w:rsid w:val="00574A46"/>
    <w:rsid w:val="00574DDE"/>
    <w:rsid w:val="00577993"/>
    <w:rsid w:val="0058265A"/>
    <w:rsid w:val="00585EBC"/>
    <w:rsid w:val="005860F7"/>
    <w:rsid w:val="0059094C"/>
    <w:rsid w:val="00591552"/>
    <w:rsid w:val="005930D0"/>
    <w:rsid w:val="005A14FE"/>
    <w:rsid w:val="005A2785"/>
    <w:rsid w:val="005A6463"/>
    <w:rsid w:val="005A6D80"/>
    <w:rsid w:val="005B49AD"/>
    <w:rsid w:val="005C092C"/>
    <w:rsid w:val="005C1833"/>
    <w:rsid w:val="005C3DD8"/>
    <w:rsid w:val="005E469E"/>
    <w:rsid w:val="005E5195"/>
    <w:rsid w:val="005E691F"/>
    <w:rsid w:val="005F0E8A"/>
    <w:rsid w:val="005F5CC6"/>
    <w:rsid w:val="005F6F47"/>
    <w:rsid w:val="006009D9"/>
    <w:rsid w:val="00601231"/>
    <w:rsid w:val="00601819"/>
    <w:rsid w:val="006050AA"/>
    <w:rsid w:val="00606845"/>
    <w:rsid w:val="00610157"/>
    <w:rsid w:val="00613141"/>
    <w:rsid w:val="006144C7"/>
    <w:rsid w:val="006165C8"/>
    <w:rsid w:val="00616CAB"/>
    <w:rsid w:val="00616E5F"/>
    <w:rsid w:val="0062600F"/>
    <w:rsid w:val="0062750B"/>
    <w:rsid w:val="00633C4E"/>
    <w:rsid w:val="006378D7"/>
    <w:rsid w:val="00641AE6"/>
    <w:rsid w:val="00641F94"/>
    <w:rsid w:val="00642A21"/>
    <w:rsid w:val="006442D5"/>
    <w:rsid w:val="0064515E"/>
    <w:rsid w:val="00645B46"/>
    <w:rsid w:val="0065518B"/>
    <w:rsid w:val="006562A6"/>
    <w:rsid w:val="006637F8"/>
    <w:rsid w:val="006657E5"/>
    <w:rsid w:val="00670255"/>
    <w:rsid w:val="006703C4"/>
    <w:rsid w:val="00671D84"/>
    <w:rsid w:val="0067313D"/>
    <w:rsid w:val="006749CF"/>
    <w:rsid w:val="00674B4F"/>
    <w:rsid w:val="0067558A"/>
    <w:rsid w:val="0067771E"/>
    <w:rsid w:val="00677DB9"/>
    <w:rsid w:val="00680525"/>
    <w:rsid w:val="006867F0"/>
    <w:rsid w:val="00690362"/>
    <w:rsid w:val="006912F2"/>
    <w:rsid w:val="00694755"/>
    <w:rsid w:val="006956E8"/>
    <w:rsid w:val="00696D2E"/>
    <w:rsid w:val="00697D49"/>
    <w:rsid w:val="006A2266"/>
    <w:rsid w:val="006B04E3"/>
    <w:rsid w:val="006B29AE"/>
    <w:rsid w:val="006B3C4B"/>
    <w:rsid w:val="006B4088"/>
    <w:rsid w:val="006D01B7"/>
    <w:rsid w:val="006D03E8"/>
    <w:rsid w:val="006D06B9"/>
    <w:rsid w:val="006D72F5"/>
    <w:rsid w:val="006E17A8"/>
    <w:rsid w:val="006F2141"/>
    <w:rsid w:val="006F3135"/>
    <w:rsid w:val="006F4EFB"/>
    <w:rsid w:val="006F5A63"/>
    <w:rsid w:val="006F7A9D"/>
    <w:rsid w:val="006F7DAD"/>
    <w:rsid w:val="007001DF"/>
    <w:rsid w:val="00700F0E"/>
    <w:rsid w:val="00702D69"/>
    <w:rsid w:val="00702FCB"/>
    <w:rsid w:val="00711B39"/>
    <w:rsid w:val="00711BD0"/>
    <w:rsid w:val="0071460C"/>
    <w:rsid w:val="007152EF"/>
    <w:rsid w:val="00727542"/>
    <w:rsid w:val="00727EAB"/>
    <w:rsid w:val="007304EA"/>
    <w:rsid w:val="00731652"/>
    <w:rsid w:val="00732B14"/>
    <w:rsid w:val="0073522D"/>
    <w:rsid w:val="00736D8D"/>
    <w:rsid w:val="00747AF0"/>
    <w:rsid w:val="00750470"/>
    <w:rsid w:val="007535FB"/>
    <w:rsid w:val="00754157"/>
    <w:rsid w:val="007550CB"/>
    <w:rsid w:val="007616EA"/>
    <w:rsid w:val="00763849"/>
    <w:rsid w:val="0077008E"/>
    <w:rsid w:val="0077040F"/>
    <w:rsid w:val="00773D04"/>
    <w:rsid w:val="007741CF"/>
    <w:rsid w:val="007750DF"/>
    <w:rsid w:val="00780368"/>
    <w:rsid w:val="00781775"/>
    <w:rsid w:val="0078281B"/>
    <w:rsid w:val="00784F29"/>
    <w:rsid w:val="0078525A"/>
    <w:rsid w:val="00787329"/>
    <w:rsid w:val="00796086"/>
    <w:rsid w:val="00796148"/>
    <w:rsid w:val="007A1CCC"/>
    <w:rsid w:val="007A28E4"/>
    <w:rsid w:val="007B18DD"/>
    <w:rsid w:val="007B32DB"/>
    <w:rsid w:val="007B45AA"/>
    <w:rsid w:val="007B76AD"/>
    <w:rsid w:val="007B7F56"/>
    <w:rsid w:val="007C1725"/>
    <w:rsid w:val="007C459A"/>
    <w:rsid w:val="007C74C3"/>
    <w:rsid w:val="007D2A89"/>
    <w:rsid w:val="007D6F57"/>
    <w:rsid w:val="007D771C"/>
    <w:rsid w:val="007E2565"/>
    <w:rsid w:val="007F48E5"/>
    <w:rsid w:val="007F5F8E"/>
    <w:rsid w:val="007F7790"/>
    <w:rsid w:val="007F7A03"/>
    <w:rsid w:val="007F7F0E"/>
    <w:rsid w:val="0080192A"/>
    <w:rsid w:val="00802C7F"/>
    <w:rsid w:val="00804F1F"/>
    <w:rsid w:val="00813371"/>
    <w:rsid w:val="008154C6"/>
    <w:rsid w:val="008175F3"/>
    <w:rsid w:val="0082008D"/>
    <w:rsid w:val="00820137"/>
    <w:rsid w:val="008264D7"/>
    <w:rsid w:val="00827373"/>
    <w:rsid w:val="00830864"/>
    <w:rsid w:val="00832309"/>
    <w:rsid w:val="00834F7B"/>
    <w:rsid w:val="008401CF"/>
    <w:rsid w:val="00842C75"/>
    <w:rsid w:val="00845180"/>
    <w:rsid w:val="008464F8"/>
    <w:rsid w:val="008510B2"/>
    <w:rsid w:val="00851696"/>
    <w:rsid w:val="00854327"/>
    <w:rsid w:val="00856B13"/>
    <w:rsid w:val="00861F9D"/>
    <w:rsid w:val="00865976"/>
    <w:rsid w:val="00867FFE"/>
    <w:rsid w:val="008722B7"/>
    <w:rsid w:val="008746A9"/>
    <w:rsid w:val="0088168B"/>
    <w:rsid w:val="00881B20"/>
    <w:rsid w:val="008835B1"/>
    <w:rsid w:val="008860FC"/>
    <w:rsid w:val="008874E0"/>
    <w:rsid w:val="0089090D"/>
    <w:rsid w:val="0089121A"/>
    <w:rsid w:val="00892842"/>
    <w:rsid w:val="0089330D"/>
    <w:rsid w:val="00896FD2"/>
    <w:rsid w:val="008A0471"/>
    <w:rsid w:val="008A0B39"/>
    <w:rsid w:val="008A6501"/>
    <w:rsid w:val="008A67A2"/>
    <w:rsid w:val="008B0179"/>
    <w:rsid w:val="008B0539"/>
    <w:rsid w:val="008B190B"/>
    <w:rsid w:val="008B1AC0"/>
    <w:rsid w:val="008B1FEB"/>
    <w:rsid w:val="008B3A2A"/>
    <w:rsid w:val="008B4359"/>
    <w:rsid w:val="008B6686"/>
    <w:rsid w:val="008B67AF"/>
    <w:rsid w:val="008C45A3"/>
    <w:rsid w:val="008C4ED2"/>
    <w:rsid w:val="008C5345"/>
    <w:rsid w:val="008C7E99"/>
    <w:rsid w:val="008D0DC7"/>
    <w:rsid w:val="008D1387"/>
    <w:rsid w:val="008D4D7A"/>
    <w:rsid w:val="008D5C07"/>
    <w:rsid w:val="008D67B9"/>
    <w:rsid w:val="008E1E0B"/>
    <w:rsid w:val="008E238F"/>
    <w:rsid w:val="008E76EB"/>
    <w:rsid w:val="008E7F6E"/>
    <w:rsid w:val="008F3AF7"/>
    <w:rsid w:val="008F43C4"/>
    <w:rsid w:val="008F4F00"/>
    <w:rsid w:val="008F73B9"/>
    <w:rsid w:val="00904D36"/>
    <w:rsid w:val="00914ECC"/>
    <w:rsid w:val="0091522E"/>
    <w:rsid w:val="00915B82"/>
    <w:rsid w:val="00921B2E"/>
    <w:rsid w:val="00924E93"/>
    <w:rsid w:val="00925EF3"/>
    <w:rsid w:val="00930283"/>
    <w:rsid w:val="009357FE"/>
    <w:rsid w:val="00935A0D"/>
    <w:rsid w:val="00941AD0"/>
    <w:rsid w:val="00943D2E"/>
    <w:rsid w:val="00943DF1"/>
    <w:rsid w:val="0095222A"/>
    <w:rsid w:val="00952C02"/>
    <w:rsid w:val="0095773B"/>
    <w:rsid w:val="00965988"/>
    <w:rsid w:val="009675A7"/>
    <w:rsid w:val="00971E0D"/>
    <w:rsid w:val="0097411D"/>
    <w:rsid w:val="00974408"/>
    <w:rsid w:val="009870ED"/>
    <w:rsid w:val="0098779A"/>
    <w:rsid w:val="00990E8B"/>
    <w:rsid w:val="00992CBD"/>
    <w:rsid w:val="0099396E"/>
    <w:rsid w:val="0099452C"/>
    <w:rsid w:val="00995672"/>
    <w:rsid w:val="00996288"/>
    <w:rsid w:val="009A35F9"/>
    <w:rsid w:val="009A6CA7"/>
    <w:rsid w:val="009A742F"/>
    <w:rsid w:val="009A7899"/>
    <w:rsid w:val="009B16B9"/>
    <w:rsid w:val="009B4431"/>
    <w:rsid w:val="009C161A"/>
    <w:rsid w:val="009C66AF"/>
    <w:rsid w:val="009D05FB"/>
    <w:rsid w:val="009D0FFC"/>
    <w:rsid w:val="009D1955"/>
    <w:rsid w:val="009D55A9"/>
    <w:rsid w:val="009E5F6D"/>
    <w:rsid w:val="009E7E1B"/>
    <w:rsid w:val="009F59A9"/>
    <w:rsid w:val="009F611C"/>
    <w:rsid w:val="00A001BB"/>
    <w:rsid w:val="00A01893"/>
    <w:rsid w:val="00A10D1F"/>
    <w:rsid w:val="00A12040"/>
    <w:rsid w:val="00A120CA"/>
    <w:rsid w:val="00A126E3"/>
    <w:rsid w:val="00A15CB2"/>
    <w:rsid w:val="00A15DA0"/>
    <w:rsid w:val="00A208FA"/>
    <w:rsid w:val="00A24A45"/>
    <w:rsid w:val="00A35405"/>
    <w:rsid w:val="00A3645E"/>
    <w:rsid w:val="00A411B9"/>
    <w:rsid w:val="00A41660"/>
    <w:rsid w:val="00A41812"/>
    <w:rsid w:val="00A421C4"/>
    <w:rsid w:val="00A43A82"/>
    <w:rsid w:val="00A44733"/>
    <w:rsid w:val="00A448AB"/>
    <w:rsid w:val="00A464CA"/>
    <w:rsid w:val="00A46942"/>
    <w:rsid w:val="00A47A8F"/>
    <w:rsid w:val="00A50EAC"/>
    <w:rsid w:val="00A51B26"/>
    <w:rsid w:val="00A51C84"/>
    <w:rsid w:val="00A538AC"/>
    <w:rsid w:val="00A53CAD"/>
    <w:rsid w:val="00A53EEB"/>
    <w:rsid w:val="00A55E38"/>
    <w:rsid w:val="00A56DA2"/>
    <w:rsid w:val="00A573B4"/>
    <w:rsid w:val="00A651B5"/>
    <w:rsid w:val="00A65B42"/>
    <w:rsid w:val="00A65D8F"/>
    <w:rsid w:val="00A67C7E"/>
    <w:rsid w:val="00A771BE"/>
    <w:rsid w:val="00A8742A"/>
    <w:rsid w:val="00A91E86"/>
    <w:rsid w:val="00A93390"/>
    <w:rsid w:val="00A948E0"/>
    <w:rsid w:val="00A95536"/>
    <w:rsid w:val="00A962C1"/>
    <w:rsid w:val="00A97C1C"/>
    <w:rsid w:val="00AA091B"/>
    <w:rsid w:val="00AA3935"/>
    <w:rsid w:val="00AA7F4A"/>
    <w:rsid w:val="00AB22B5"/>
    <w:rsid w:val="00AB2D9C"/>
    <w:rsid w:val="00AB3C40"/>
    <w:rsid w:val="00AB7B7B"/>
    <w:rsid w:val="00AC09DA"/>
    <w:rsid w:val="00AC4280"/>
    <w:rsid w:val="00AC7CC1"/>
    <w:rsid w:val="00AD2976"/>
    <w:rsid w:val="00AD34C5"/>
    <w:rsid w:val="00AD4A90"/>
    <w:rsid w:val="00AD5EAB"/>
    <w:rsid w:val="00AD69D4"/>
    <w:rsid w:val="00AE262E"/>
    <w:rsid w:val="00AE5716"/>
    <w:rsid w:val="00AE59B2"/>
    <w:rsid w:val="00AE6CD9"/>
    <w:rsid w:val="00AF5BF2"/>
    <w:rsid w:val="00AF5C2C"/>
    <w:rsid w:val="00AF6703"/>
    <w:rsid w:val="00AF6CBB"/>
    <w:rsid w:val="00B000FA"/>
    <w:rsid w:val="00B00114"/>
    <w:rsid w:val="00B00BF8"/>
    <w:rsid w:val="00B02FDC"/>
    <w:rsid w:val="00B04905"/>
    <w:rsid w:val="00B0708B"/>
    <w:rsid w:val="00B07F96"/>
    <w:rsid w:val="00B12372"/>
    <w:rsid w:val="00B134C3"/>
    <w:rsid w:val="00B149CD"/>
    <w:rsid w:val="00B14F74"/>
    <w:rsid w:val="00B14F88"/>
    <w:rsid w:val="00B20683"/>
    <w:rsid w:val="00B218D8"/>
    <w:rsid w:val="00B26B7A"/>
    <w:rsid w:val="00B3528C"/>
    <w:rsid w:val="00B36680"/>
    <w:rsid w:val="00B368DA"/>
    <w:rsid w:val="00B44DD9"/>
    <w:rsid w:val="00B47B1E"/>
    <w:rsid w:val="00B55831"/>
    <w:rsid w:val="00B56095"/>
    <w:rsid w:val="00B6494F"/>
    <w:rsid w:val="00B66EC6"/>
    <w:rsid w:val="00B7319F"/>
    <w:rsid w:val="00B74640"/>
    <w:rsid w:val="00B750E5"/>
    <w:rsid w:val="00B80683"/>
    <w:rsid w:val="00B80F36"/>
    <w:rsid w:val="00B83C67"/>
    <w:rsid w:val="00B937E4"/>
    <w:rsid w:val="00B93A33"/>
    <w:rsid w:val="00BA5147"/>
    <w:rsid w:val="00BB0771"/>
    <w:rsid w:val="00BB19FF"/>
    <w:rsid w:val="00BB2BD6"/>
    <w:rsid w:val="00BB2D1A"/>
    <w:rsid w:val="00BB5DF2"/>
    <w:rsid w:val="00BC1253"/>
    <w:rsid w:val="00BC281A"/>
    <w:rsid w:val="00BC6F38"/>
    <w:rsid w:val="00BC7E94"/>
    <w:rsid w:val="00BD0CFE"/>
    <w:rsid w:val="00BD4C47"/>
    <w:rsid w:val="00BE17E7"/>
    <w:rsid w:val="00BE2561"/>
    <w:rsid w:val="00BE5252"/>
    <w:rsid w:val="00BF233D"/>
    <w:rsid w:val="00BF445B"/>
    <w:rsid w:val="00BF7EC2"/>
    <w:rsid w:val="00C07C64"/>
    <w:rsid w:val="00C17FBA"/>
    <w:rsid w:val="00C201B3"/>
    <w:rsid w:val="00C2526A"/>
    <w:rsid w:val="00C3179E"/>
    <w:rsid w:val="00C330BB"/>
    <w:rsid w:val="00C33219"/>
    <w:rsid w:val="00C36229"/>
    <w:rsid w:val="00C451B6"/>
    <w:rsid w:val="00C51459"/>
    <w:rsid w:val="00C51A97"/>
    <w:rsid w:val="00C54372"/>
    <w:rsid w:val="00C56A21"/>
    <w:rsid w:val="00C67F2D"/>
    <w:rsid w:val="00C70E34"/>
    <w:rsid w:val="00C7130E"/>
    <w:rsid w:val="00C745E2"/>
    <w:rsid w:val="00C75A30"/>
    <w:rsid w:val="00C76630"/>
    <w:rsid w:val="00C825BD"/>
    <w:rsid w:val="00C847E9"/>
    <w:rsid w:val="00C9123E"/>
    <w:rsid w:val="00C92975"/>
    <w:rsid w:val="00C93D9D"/>
    <w:rsid w:val="00C95688"/>
    <w:rsid w:val="00C96273"/>
    <w:rsid w:val="00CA0480"/>
    <w:rsid w:val="00CA41CA"/>
    <w:rsid w:val="00CA468B"/>
    <w:rsid w:val="00CA4D92"/>
    <w:rsid w:val="00CA50E6"/>
    <w:rsid w:val="00CB15F8"/>
    <w:rsid w:val="00CB2A02"/>
    <w:rsid w:val="00CB35B0"/>
    <w:rsid w:val="00CB6ABD"/>
    <w:rsid w:val="00CB7DAE"/>
    <w:rsid w:val="00CC2449"/>
    <w:rsid w:val="00CC53A2"/>
    <w:rsid w:val="00CC62E6"/>
    <w:rsid w:val="00CC724B"/>
    <w:rsid w:val="00CD1D2B"/>
    <w:rsid w:val="00CD4ACF"/>
    <w:rsid w:val="00CE21F1"/>
    <w:rsid w:val="00CE441A"/>
    <w:rsid w:val="00CF13CB"/>
    <w:rsid w:val="00CF6425"/>
    <w:rsid w:val="00CF67DE"/>
    <w:rsid w:val="00CF70E4"/>
    <w:rsid w:val="00D04783"/>
    <w:rsid w:val="00D06B90"/>
    <w:rsid w:val="00D07F31"/>
    <w:rsid w:val="00D14D56"/>
    <w:rsid w:val="00D15596"/>
    <w:rsid w:val="00D179F5"/>
    <w:rsid w:val="00D23A6F"/>
    <w:rsid w:val="00D323BB"/>
    <w:rsid w:val="00D3430D"/>
    <w:rsid w:val="00D36036"/>
    <w:rsid w:val="00D36196"/>
    <w:rsid w:val="00D36340"/>
    <w:rsid w:val="00D36CDA"/>
    <w:rsid w:val="00D36FA8"/>
    <w:rsid w:val="00D42A36"/>
    <w:rsid w:val="00D4553F"/>
    <w:rsid w:val="00D46630"/>
    <w:rsid w:val="00D51C94"/>
    <w:rsid w:val="00D53C3F"/>
    <w:rsid w:val="00D54A38"/>
    <w:rsid w:val="00D6149A"/>
    <w:rsid w:val="00D64507"/>
    <w:rsid w:val="00D66703"/>
    <w:rsid w:val="00D75071"/>
    <w:rsid w:val="00D767CE"/>
    <w:rsid w:val="00D8360D"/>
    <w:rsid w:val="00D861BB"/>
    <w:rsid w:val="00D876A4"/>
    <w:rsid w:val="00D87FE6"/>
    <w:rsid w:val="00D9338B"/>
    <w:rsid w:val="00D96406"/>
    <w:rsid w:val="00DA0D95"/>
    <w:rsid w:val="00DA1002"/>
    <w:rsid w:val="00DA6754"/>
    <w:rsid w:val="00DA7552"/>
    <w:rsid w:val="00DB2E1D"/>
    <w:rsid w:val="00DB427B"/>
    <w:rsid w:val="00DB4352"/>
    <w:rsid w:val="00DB56A3"/>
    <w:rsid w:val="00DC39CF"/>
    <w:rsid w:val="00DC40D4"/>
    <w:rsid w:val="00DC6F40"/>
    <w:rsid w:val="00DC7AA1"/>
    <w:rsid w:val="00DD22EC"/>
    <w:rsid w:val="00DD4661"/>
    <w:rsid w:val="00DD641E"/>
    <w:rsid w:val="00DD6F27"/>
    <w:rsid w:val="00DE5326"/>
    <w:rsid w:val="00DE5703"/>
    <w:rsid w:val="00DF05A7"/>
    <w:rsid w:val="00DF26ED"/>
    <w:rsid w:val="00DF2F98"/>
    <w:rsid w:val="00DF312D"/>
    <w:rsid w:val="00DF495B"/>
    <w:rsid w:val="00DF64AD"/>
    <w:rsid w:val="00DF7507"/>
    <w:rsid w:val="00E00DD4"/>
    <w:rsid w:val="00E03680"/>
    <w:rsid w:val="00E1180C"/>
    <w:rsid w:val="00E12C30"/>
    <w:rsid w:val="00E21770"/>
    <w:rsid w:val="00E235A3"/>
    <w:rsid w:val="00E31415"/>
    <w:rsid w:val="00E316C6"/>
    <w:rsid w:val="00E316FB"/>
    <w:rsid w:val="00E35EE7"/>
    <w:rsid w:val="00E401EB"/>
    <w:rsid w:val="00E40799"/>
    <w:rsid w:val="00E413F9"/>
    <w:rsid w:val="00E43C28"/>
    <w:rsid w:val="00E43FAA"/>
    <w:rsid w:val="00E520F7"/>
    <w:rsid w:val="00E52239"/>
    <w:rsid w:val="00E544D1"/>
    <w:rsid w:val="00E54E5F"/>
    <w:rsid w:val="00E55B65"/>
    <w:rsid w:val="00E56017"/>
    <w:rsid w:val="00E574E6"/>
    <w:rsid w:val="00E63AF8"/>
    <w:rsid w:val="00E6600B"/>
    <w:rsid w:val="00E72D17"/>
    <w:rsid w:val="00E76035"/>
    <w:rsid w:val="00E76309"/>
    <w:rsid w:val="00E77C7E"/>
    <w:rsid w:val="00E77C97"/>
    <w:rsid w:val="00E77F55"/>
    <w:rsid w:val="00E80EFD"/>
    <w:rsid w:val="00E84FE6"/>
    <w:rsid w:val="00E86423"/>
    <w:rsid w:val="00E90DD8"/>
    <w:rsid w:val="00E962FE"/>
    <w:rsid w:val="00E96379"/>
    <w:rsid w:val="00E96BDB"/>
    <w:rsid w:val="00EA466B"/>
    <w:rsid w:val="00EA77FE"/>
    <w:rsid w:val="00EA7D8D"/>
    <w:rsid w:val="00EB13FF"/>
    <w:rsid w:val="00EB3555"/>
    <w:rsid w:val="00EB65D2"/>
    <w:rsid w:val="00EC1CB2"/>
    <w:rsid w:val="00EC5444"/>
    <w:rsid w:val="00EC6BB2"/>
    <w:rsid w:val="00EC7050"/>
    <w:rsid w:val="00EC709B"/>
    <w:rsid w:val="00ED4284"/>
    <w:rsid w:val="00ED49DD"/>
    <w:rsid w:val="00EE3DB3"/>
    <w:rsid w:val="00EE4D23"/>
    <w:rsid w:val="00EF2859"/>
    <w:rsid w:val="00EF2EC0"/>
    <w:rsid w:val="00EF4FCC"/>
    <w:rsid w:val="00EF69E9"/>
    <w:rsid w:val="00EF7181"/>
    <w:rsid w:val="00EF73B7"/>
    <w:rsid w:val="00EF7673"/>
    <w:rsid w:val="00F01207"/>
    <w:rsid w:val="00F03E94"/>
    <w:rsid w:val="00F1107F"/>
    <w:rsid w:val="00F1110D"/>
    <w:rsid w:val="00F17392"/>
    <w:rsid w:val="00F23D24"/>
    <w:rsid w:val="00F26F94"/>
    <w:rsid w:val="00F346B6"/>
    <w:rsid w:val="00F353F0"/>
    <w:rsid w:val="00F43E08"/>
    <w:rsid w:val="00F44987"/>
    <w:rsid w:val="00F5250B"/>
    <w:rsid w:val="00F57ACE"/>
    <w:rsid w:val="00F57D6F"/>
    <w:rsid w:val="00F60043"/>
    <w:rsid w:val="00F63D07"/>
    <w:rsid w:val="00F666EA"/>
    <w:rsid w:val="00F671D5"/>
    <w:rsid w:val="00F71B18"/>
    <w:rsid w:val="00F76A57"/>
    <w:rsid w:val="00F82FF6"/>
    <w:rsid w:val="00F85D59"/>
    <w:rsid w:val="00F85D6E"/>
    <w:rsid w:val="00F914F6"/>
    <w:rsid w:val="00F95F45"/>
    <w:rsid w:val="00F96E33"/>
    <w:rsid w:val="00FA17E6"/>
    <w:rsid w:val="00FB0DF6"/>
    <w:rsid w:val="00FB4502"/>
    <w:rsid w:val="00FC1A10"/>
    <w:rsid w:val="00FC2411"/>
    <w:rsid w:val="00FC3A68"/>
    <w:rsid w:val="00FC4521"/>
    <w:rsid w:val="00FC69C4"/>
    <w:rsid w:val="00FC7878"/>
    <w:rsid w:val="00FD4AA3"/>
    <w:rsid w:val="00FD7029"/>
    <w:rsid w:val="00FE1519"/>
    <w:rsid w:val="00FE4545"/>
    <w:rsid w:val="00FE505F"/>
    <w:rsid w:val="00FF01F9"/>
    <w:rsid w:val="00FF226F"/>
    <w:rsid w:val="00FF4F83"/>
    <w:rsid w:val="00FF717D"/>
    <w:rsid w:val="00FF7BF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F7EDEB-AEA7-4859-8E6A-1CBBC5943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4709"/>
    <w:pPr>
      <w:spacing w:after="200" w:line="276" w:lineRule="auto"/>
    </w:pPr>
    <w:rPr>
      <w:rFonts w:ascii="Calibri" w:eastAsia="Calibri" w:hAnsi="Calibri" w:cs="Times New Roman"/>
    </w:rPr>
  </w:style>
  <w:style w:type="paragraph" w:styleId="Titre2">
    <w:name w:val="heading 2"/>
    <w:basedOn w:val="Normal"/>
    <w:next w:val="Normal"/>
    <w:link w:val="Titre2Car"/>
    <w:qFormat/>
    <w:rsid w:val="00424709"/>
    <w:pPr>
      <w:keepNext/>
      <w:widowControl w:val="0"/>
      <w:autoSpaceDE w:val="0"/>
      <w:autoSpaceDN w:val="0"/>
      <w:adjustRightInd w:val="0"/>
      <w:spacing w:after="0" w:line="240" w:lineRule="auto"/>
      <w:jc w:val="both"/>
      <w:outlineLvl w:val="1"/>
    </w:pPr>
    <w:rPr>
      <w:rFonts w:ascii="Times New Roman" w:eastAsia="Times New Roman" w:hAnsi="Times New Roman"/>
      <w:b/>
      <w:bCs/>
      <w:sz w:val="28"/>
      <w:szCs w:val="24"/>
      <w:lang w:val="x-none" w:eastAsia="x-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rsid w:val="00424709"/>
    <w:rPr>
      <w:rFonts w:ascii="Times New Roman" w:eastAsia="Times New Roman" w:hAnsi="Times New Roman" w:cs="Times New Roman"/>
      <w:b/>
      <w:bCs/>
      <w:sz w:val="28"/>
      <w:szCs w:val="24"/>
      <w:lang w:val="x-none" w:eastAsia="x-none"/>
    </w:rPr>
  </w:style>
  <w:style w:type="paragraph" w:styleId="En-tte">
    <w:name w:val="header"/>
    <w:basedOn w:val="Normal"/>
    <w:link w:val="En-tteCar"/>
    <w:uiPriority w:val="99"/>
    <w:unhideWhenUsed/>
    <w:rsid w:val="00424709"/>
    <w:pPr>
      <w:tabs>
        <w:tab w:val="center" w:pos="4536"/>
        <w:tab w:val="right" w:pos="9072"/>
      </w:tabs>
      <w:spacing w:after="0" w:line="240" w:lineRule="auto"/>
    </w:pPr>
  </w:style>
  <w:style w:type="character" w:customStyle="1" w:styleId="En-tteCar">
    <w:name w:val="En-tête Car"/>
    <w:basedOn w:val="Policepardfaut"/>
    <w:link w:val="En-tte"/>
    <w:uiPriority w:val="99"/>
    <w:rsid w:val="00424709"/>
    <w:rPr>
      <w:rFonts w:ascii="Calibri" w:eastAsia="Calibri" w:hAnsi="Calibri" w:cs="Times New Roman"/>
    </w:rPr>
  </w:style>
  <w:style w:type="paragraph" w:styleId="Pieddepage">
    <w:name w:val="footer"/>
    <w:basedOn w:val="Normal"/>
    <w:link w:val="PieddepageCar"/>
    <w:uiPriority w:val="99"/>
    <w:unhideWhenUsed/>
    <w:rsid w:val="0042470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24709"/>
    <w:rPr>
      <w:rFonts w:ascii="Calibri" w:eastAsia="Calibri" w:hAnsi="Calibri" w:cs="Times New Roman"/>
    </w:rPr>
  </w:style>
  <w:style w:type="character" w:styleId="Emphaseple">
    <w:name w:val="Subtle Emphasis"/>
    <w:uiPriority w:val="19"/>
    <w:qFormat/>
    <w:rsid w:val="00424709"/>
    <w:rPr>
      <w:i/>
      <w:iCs/>
      <w:color w:val="404040"/>
    </w:rPr>
  </w:style>
  <w:style w:type="paragraph" w:styleId="Titre">
    <w:name w:val="Title"/>
    <w:basedOn w:val="Normal"/>
    <w:link w:val="TitreCar"/>
    <w:qFormat/>
    <w:rsid w:val="00424709"/>
    <w:pPr>
      <w:spacing w:after="0" w:line="240" w:lineRule="auto"/>
      <w:jc w:val="both"/>
    </w:pPr>
    <w:rPr>
      <w:rFonts w:ascii="Arial" w:eastAsia="Times New Roman" w:hAnsi="Arial"/>
      <w:bCs/>
      <w:sz w:val="24"/>
      <w:szCs w:val="24"/>
      <w:lang w:eastAsia="fr-FR"/>
    </w:rPr>
  </w:style>
  <w:style w:type="character" w:customStyle="1" w:styleId="TitreCar">
    <w:name w:val="Titre Car"/>
    <w:basedOn w:val="Policepardfaut"/>
    <w:link w:val="Titre"/>
    <w:rsid w:val="00424709"/>
    <w:rPr>
      <w:rFonts w:ascii="Arial" w:eastAsia="Times New Roman" w:hAnsi="Arial" w:cs="Times New Roman"/>
      <w:bCs/>
      <w:sz w:val="24"/>
      <w:szCs w:val="24"/>
      <w:lang w:eastAsia="fr-FR"/>
    </w:rPr>
  </w:style>
  <w:style w:type="character" w:customStyle="1" w:styleId="notranslate">
    <w:name w:val="notranslate"/>
    <w:basedOn w:val="Policepardfaut"/>
    <w:rsid w:val="00424709"/>
  </w:style>
  <w:style w:type="paragraph" w:styleId="Notedebasdepage">
    <w:name w:val="footnote text"/>
    <w:basedOn w:val="Normal"/>
    <w:link w:val="NotedebasdepageCar"/>
    <w:uiPriority w:val="99"/>
    <w:semiHidden/>
    <w:unhideWhenUsed/>
    <w:rsid w:val="00424709"/>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424709"/>
    <w:rPr>
      <w:rFonts w:ascii="Calibri" w:eastAsia="Calibri" w:hAnsi="Calibri" w:cs="Times New Roman"/>
      <w:sz w:val="20"/>
      <w:szCs w:val="20"/>
    </w:rPr>
  </w:style>
  <w:style w:type="character" w:styleId="Appelnotedebasdep">
    <w:name w:val="footnote reference"/>
    <w:uiPriority w:val="99"/>
    <w:semiHidden/>
    <w:unhideWhenUsed/>
    <w:rsid w:val="00424709"/>
    <w:rPr>
      <w:vertAlign w:val="superscript"/>
    </w:rPr>
  </w:style>
  <w:style w:type="paragraph" w:styleId="NormalWeb">
    <w:name w:val="Normal (Web)"/>
    <w:basedOn w:val="Normal"/>
    <w:uiPriority w:val="99"/>
    <w:unhideWhenUsed/>
    <w:rsid w:val="0053076D"/>
    <w:pPr>
      <w:spacing w:before="100" w:beforeAutospacing="1" w:after="100" w:afterAutospacing="1" w:line="240" w:lineRule="auto"/>
    </w:pPr>
    <w:rPr>
      <w:rFonts w:ascii="Times New Roman" w:eastAsia="Times New Roman" w:hAnsi="Times New Roman"/>
      <w:sz w:val="24"/>
      <w:szCs w:val="24"/>
      <w:lang w:eastAsia="fr-FR"/>
    </w:rPr>
  </w:style>
  <w:style w:type="paragraph" w:styleId="PrformatHTML">
    <w:name w:val="HTML Preformatted"/>
    <w:basedOn w:val="Normal"/>
    <w:link w:val="PrformatHTMLCar"/>
    <w:uiPriority w:val="99"/>
    <w:unhideWhenUsed/>
    <w:rsid w:val="00A91E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rsid w:val="00A91E86"/>
    <w:rPr>
      <w:rFonts w:ascii="Courier New" w:eastAsia="Times New Roman" w:hAnsi="Courier New" w:cs="Courier New"/>
      <w:sz w:val="20"/>
      <w:szCs w:val="20"/>
      <w:lang w:eastAsia="fr-FR"/>
    </w:rPr>
  </w:style>
  <w:style w:type="character" w:customStyle="1" w:styleId="y2iqfc">
    <w:name w:val="y2iqfc"/>
    <w:basedOn w:val="Policepardfaut"/>
    <w:rsid w:val="00B750E5"/>
  </w:style>
  <w:style w:type="character" w:customStyle="1" w:styleId="jlqj4b">
    <w:name w:val="jlqj4b"/>
    <w:rsid w:val="00FF01F9"/>
  </w:style>
  <w:style w:type="paragraph" w:styleId="Textedebulles">
    <w:name w:val="Balloon Text"/>
    <w:basedOn w:val="Normal"/>
    <w:link w:val="TextedebullesCar"/>
    <w:uiPriority w:val="99"/>
    <w:semiHidden/>
    <w:unhideWhenUsed/>
    <w:rsid w:val="00CB7DA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B7DAE"/>
    <w:rPr>
      <w:rFonts w:ascii="Segoe UI" w:eastAsia="Calibri" w:hAnsi="Segoe UI" w:cs="Segoe UI"/>
      <w:sz w:val="18"/>
      <w:szCs w:val="18"/>
    </w:rPr>
  </w:style>
  <w:style w:type="character" w:styleId="Marquedecommentaire">
    <w:name w:val="annotation reference"/>
    <w:basedOn w:val="Policepardfaut"/>
    <w:uiPriority w:val="99"/>
    <w:semiHidden/>
    <w:unhideWhenUsed/>
    <w:rsid w:val="00456DCB"/>
    <w:rPr>
      <w:sz w:val="16"/>
      <w:szCs w:val="16"/>
    </w:rPr>
  </w:style>
  <w:style w:type="paragraph" w:styleId="Commentaire">
    <w:name w:val="annotation text"/>
    <w:basedOn w:val="Normal"/>
    <w:link w:val="CommentaireCar"/>
    <w:uiPriority w:val="99"/>
    <w:semiHidden/>
    <w:unhideWhenUsed/>
    <w:rsid w:val="00456DCB"/>
    <w:pPr>
      <w:spacing w:line="240" w:lineRule="auto"/>
    </w:pPr>
    <w:rPr>
      <w:sz w:val="20"/>
      <w:szCs w:val="20"/>
    </w:rPr>
  </w:style>
  <w:style w:type="character" w:customStyle="1" w:styleId="CommentaireCar">
    <w:name w:val="Commentaire Car"/>
    <w:basedOn w:val="Policepardfaut"/>
    <w:link w:val="Commentaire"/>
    <w:uiPriority w:val="99"/>
    <w:semiHidden/>
    <w:rsid w:val="00456DCB"/>
    <w:rPr>
      <w:rFonts w:ascii="Calibri" w:eastAsia="Calibri" w:hAnsi="Calibri" w:cs="Times New Roman"/>
      <w:sz w:val="20"/>
      <w:szCs w:val="20"/>
    </w:rPr>
  </w:style>
  <w:style w:type="paragraph" w:styleId="Objetducommentaire">
    <w:name w:val="annotation subject"/>
    <w:basedOn w:val="Commentaire"/>
    <w:next w:val="Commentaire"/>
    <w:link w:val="ObjetducommentaireCar"/>
    <w:uiPriority w:val="99"/>
    <w:semiHidden/>
    <w:unhideWhenUsed/>
    <w:rsid w:val="00456DCB"/>
    <w:rPr>
      <w:b/>
      <w:bCs/>
    </w:rPr>
  </w:style>
  <w:style w:type="character" w:customStyle="1" w:styleId="ObjetducommentaireCar">
    <w:name w:val="Objet du commentaire Car"/>
    <w:basedOn w:val="CommentaireCar"/>
    <w:link w:val="Objetducommentaire"/>
    <w:uiPriority w:val="99"/>
    <w:semiHidden/>
    <w:rsid w:val="00456DCB"/>
    <w:rPr>
      <w:rFonts w:ascii="Calibri" w:eastAsia="Calibri" w:hAnsi="Calibri" w:cs="Times New Roman"/>
      <w:b/>
      <w:bCs/>
      <w:sz w:val="20"/>
      <w:szCs w:val="20"/>
    </w:rPr>
  </w:style>
  <w:style w:type="paragraph" w:styleId="Paragraphedeliste">
    <w:name w:val="List Paragraph"/>
    <w:basedOn w:val="Normal"/>
    <w:uiPriority w:val="34"/>
    <w:qFormat/>
    <w:rsid w:val="00BC12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0338167">
      <w:bodyDiv w:val="1"/>
      <w:marLeft w:val="0"/>
      <w:marRight w:val="0"/>
      <w:marTop w:val="0"/>
      <w:marBottom w:val="0"/>
      <w:divBdr>
        <w:top w:val="none" w:sz="0" w:space="0" w:color="auto"/>
        <w:left w:val="none" w:sz="0" w:space="0" w:color="auto"/>
        <w:bottom w:val="none" w:sz="0" w:space="0" w:color="auto"/>
        <w:right w:val="none" w:sz="0" w:space="0" w:color="auto"/>
      </w:divBdr>
    </w:div>
    <w:div w:id="1005523161">
      <w:bodyDiv w:val="1"/>
      <w:marLeft w:val="0"/>
      <w:marRight w:val="0"/>
      <w:marTop w:val="0"/>
      <w:marBottom w:val="0"/>
      <w:divBdr>
        <w:top w:val="none" w:sz="0" w:space="0" w:color="auto"/>
        <w:left w:val="none" w:sz="0" w:space="0" w:color="auto"/>
        <w:bottom w:val="none" w:sz="0" w:space="0" w:color="auto"/>
        <w:right w:val="none" w:sz="0" w:space="0" w:color="auto"/>
      </w:divBdr>
    </w:div>
    <w:div w:id="1568803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package" Target="embeddings/Feuille_de_calcul_Microsoft_Excel2.xlsx"/><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footer" Target="footer1.xml"/><Relationship Id="rId12" Type="http://schemas.openxmlformats.org/officeDocument/2006/relationships/footer" Target="footer2.xml"/><Relationship Id="rId17" Type="http://schemas.openxmlformats.org/officeDocument/2006/relationships/image" Target="media/image5.emf"/><Relationship Id="rId2" Type="http://schemas.openxmlformats.org/officeDocument/2006/relationships/styles" Target="styles.xml"/><Relationship Id="rId16" Type="http://schemas.openxmlformats.org/officeDocument/2006/relationships/package" Target="embeddings/Feuille_de_calcul_Microsoft_Excel1.xlsx"/><Relationship Id="rId20" Type="http://schemas.openxmlformats.org/officeDocument/2006/relationships/package" Target="embeddings/Feuille_de_calcul_Microsoft_Excel3.xlsx"/><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package" Target="embeddings/Feuille_de_calcul_Microsoft_Excel.xlsx"/><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4.emf"/><Relationship Id="rId23" Type="http://schemas.openxmlformats.org/officeDocument/2006/relationships/fontTable" Target="fontTable.xml"/><Relationship Id="rId10" Type="http://schemas.openxmlformats.org/officeDocument/2006/relationships/image" Target="media/image3.emf"/><Relationship Id="rId19" Type="http://schemas.openxmlformats.org/officeDocument/2006/relationships/image" Target="media/image6.emf"/><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oter" Target="footer3.xml"/><Relationship Id="rId22" Type="http://schemas.openxmlformats.org/officeDocument/2006/relationships/footer" Target="footer4.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84AECE-2768-48EF-BB54-D35C59F6F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3238</Words>
  <Characters>17813</Characters>
  <Application>Microsoft Office Word</Application>
  <DocSecurity>0</DocSecurity>
  <Lines>148</Lines>
  <Paragraphs>42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HP Inc.</Company>
  <LinksUpToDate>false</LinksUpToDate>
  <CharactersWithSpaces>21009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Honoré NDAYIZEYE</dc:creator>
  <cp:keywords/>
  <dc:description/>
  <cp:lastModifiedBy>NAHIMANA Jacqueline</cp:lastModifiedBy>
  <cp:revision>2</cp:revision>
  <cp:lastPrinted>2022-12-22T08:00:00Z</cp:lastPrinted>
  <dcterms:created xsi:type="dcterms:W3CDTF">2023-11-10T07:00:00Z</dcterms:created>
  <dcterms:modified xsi:type="dcterms:W3CDTF">2023-11-10T07:00:00Z</dcterms:modified>
</cp:coreProperties>
</file>